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5ED" w:rsidRDefault="008175ED" w:rsidP="008175ED">
      <w:pPr>
        <w:adjustRightInd w:val="0"/>
        <w:snapToGrid w:val="0"/>
        <w:spacing w:line="600" w:lineRule="exact"/>
        <w:jc w:val="center"/>
        <w:rPr>
          <w:rFonts w:ascii="方正小标宋简体" w:eastAsia="方正小标宋简体"/>
          <w:b/>
          <w:bCs/>
          <w:sz w:val="44"/>
          <w:szCs w:val="44"/>
        </w:rPr>
      </w:pPr>
      <w:r w:rsidRPr="00FE4067">
        <w:rPr>
          <w:rFonts w:ascii="方正小标宋简体" w:eastAsia="方正小标宋简体" w:hint="eastAsia"/>
          <w:b/>
          <w:bCs/>
          <w:sz w:val="44"/>
          <w:szCs w:val="44"/>
        </w:rPr>
        <w:t>关于开展2018年度高校科研实验室安全</w:t>
      </w:r>
    </w:p>
    <w:p w:rsidR="008175ED" w:rsidRDefault="008175ED" w:rsidP="008175ED">
      <w:pPr>
        <w:adjustRightInd w:val="0"/>
        <w:snapToGrid w:val="0"/>
        <w:spacing w:line="600" w:lineRule="exact"/>
        <w:jc w:val="center"/>
        <w:rPr>
          <w:rFonts w:ascii="方正小标宋简体" w:eastAsia="方正小标宋简体"/>
          <w:b/>
          <w:bCs/>
          <w:sz w:val="44"/>
          <w:szCs w:val="44"/>
        </w:rPr>
      </w:pPr>
      <w:r w:rsidRPr="00FE4067">
        <w:rPr>
          <w:rFonts w:ascii="方正小标宋简体" w:eastAsia="方正小标宋简体" w:hint="eastAsia"/>
          <w:b/>
          <w:bCs/>
          <w:sz w:val="44"/>
          <w:szCs w:val="44"/>
        </w:rPr>
        <w:t>现场检查的通知</w:t>
      </w:r>
    </w:p>
    <w:p w:rsidR="008175ED" w:rsidRPr="00FE4067" w:rsidRDefault="008175ED" w:rsidP="001A7C50">
      <w:pPr>
        <w:adjustRightInd w:val="0"/>
        <w:snapToGrid w:val="0"/>
        <w:spacing w:line="640" w:lineRule="exact"/>
        <w:jc w:val="center"/>
        <w:rPr>
          <w:rFonts w:asciiTheme="minorEastAsia" w:hAnsiTheme="minorEastAsia"/>
          <w:sz w:val="28"/>
          <w:szCs w:val="28"/>
        </w:rPr>
      </w:pPr>
      <w:r w:rsidRPr="00FE4067">
        <w:rPr>
          <w:rFonts w:asciiTheme="minorEastAsia" w:hAnsiTheme="minorEastAsia"/>
          <w:sz w:val="28"/>
          <w:szCs w:val="28"/>
        </w:rPr>
        <w:t>教技发中心函[2018] 117号</w:t>
      </w:r>
    </w:p>
    <w:p w:rsidR="001A7C50" w:rsidRDefault="001A7C50" w:rsidP="008175ED">
      <w:pPr>
        <w:adjustRightInd w:val="0"/>
        <w:snapToGrid w:val="0"/>
        <w:spacing w:line="640" w:lineRule="exact"/>
        <w:rPr>
          <w:rFonts w:asciiTheme="minorEastAsia" w:hAnsiTheme="minorEastAsia"/>
          <w:sz w:val="28"/>
          <w:szCs w:val="28"/>
        </w:rPr>
      </w:pPr>
    </w:p>
    <w:p w:rsidR="008175ED" w:rsidRPr="00FE4067" w:rsidRDefault="008175ED" w:rsidP="008175ED">
      <w:pPr>
        <w:adjustRightInd w:val="0"/>
        <w:snapToGrid w:val="0"/>
        <w:spacing w:line="640" w:lineRule="exact"/>
        <w:rPr>
          <w:rFonts w:asciiTheme="minorEastAsia" w:hAnsiTheme="minorEastAsia"/>
          <w:sz w:val="28"/>
          <w:szCs w:val="28"/>
        </w:rPr>
      </w:pPr>
      <w:r w:rsidRPr="00FE4067">
        <w:rPr>
          <w:rFonts w:asciiTheme="minorEastAsia" w:hAnsiTheme="minorEastAsia"/>
          <w:sz w:val="28"/>
          <w:szCs w:val="28"/>
        </w:rPr>
        <w:t>部属各高等学校、各省、自治区、直辖市教育厅(教委)：</w:t>
      </w:r>
    </w:p>
    <w:p w:rsidR="008175ED" w:rsidRPr="00FE4067" w:rsidRDefault="008175ED" w:rsidP="008175ED">
      <w:pPr>
        <w:adjustRightInd w:val="0"/>
        <w:snapToGrid w:val="0"/>
        <w:spacing w:line="640" w:lineRule="exact"/>
        <w:rPr>
          <w:rFonts w:asciiTheme="minorEastAsia" w:hAnsiTheme="minorEastAsia"/>
          <w:sz w:val="28"/>
          <w:szCs w:val="28"/>
        </w:rPr>
      </w:pPr>
      <w:r w:rsidRPr="00FE4067">
        <w:rPr>
          <w:rFonts w:asciiTheme="minorEastAsia" w:hAnsiTheme="minorEastAsia"/>
          <w:sz w:val="28"/>
          <w:szCs w:val="28"/>
        </w:rPr>
        <w:t xml:space="preserve">　　根据《教育部科技司关于开展2018年度高等学校科研实验室安全检查工作的通知》(教技司[2018]254号)的工作部署，各高校对科研实验室的自查、整改即将完成。受科技司委托，我中心将根据自查整改情况，有针对性地在第四季度陆续开</w:t>
      </w:r>
      <w:bookmarkStart w:id="0" w:name="_GoBack"/>
      <w:bookmarkEnd w:id="0"/>
      <w:r w:rsidRPr="00FE4067">
        <w:rPr>
          <w:rFonts w:asciiTheme="minorEastAsia" w:hAnsiTheme="minorEastAsia"/>
          <w:sz w:val="28"/>
          <w:szCs w:val="28"/>
        </w:rPr>
        <w:t>展高校科研实验室安全现场检查。</w:t>
      </w:r>
    </w:p>
    <w:p w:rsidR="008175ED" w:rsidRPr="00FE4067" w:rsidRDefault="008175ED" w:rsidP="008175ED">
      <w:pPr>
        <w:adjustRightInd w:val="0"/>
        <w:snapToGrid w:val="0"/>
        <w:spacing w:line="640" w:lineRule="exact"/>
        <w:rPr>
          <w:rFonts w:asciiTheme="minorEastAsia" w:hAnsiTheme="minorEastAsia"/>
          <w:sz w:val="28"/>
          <w:szCs w:val="28"/>
        </w:rPr>
      </w:pPr>
      <w:r w:rsidRPr="00FE4067">
        <w:rPr>
          <w:rFonts w:asciiTheme="minorEastAsia" w:hAnsiTheme="minorEastAsia"/>
          <w:sz w:val="28"/>
          <w:szCs w:val="28"/>
        </w:rPr>
        <w:t xml:space="preserve">　　《2018年高等学校实验室安全检查项目表》358条款已按照重要性、导向性情况进行了星级划分，并将检查结果进行了分级(见附件)。现场检查发现问题条款的星级和数量，将作为判定检查结果的依据。各高校有关部门要从严从实从细抓好科研实验室稳定、安全工作，扎实开展实验室安全检查，通过抓重点、抓关键、抓薄弱环节，推动安全责任和防范措施落到实处，预防和遏制各类安全事故的发生。</w:t>
      </w:r>
    </w:p>
    <w:p w:rsidR="008175ED" w:rsidRPr="00FE4067" w:rsidRDefault="008175ED" w:rsidP="008175ED">
      <w:pPr>
        <w:adjustRightInd w:val="0"/>
        <w:snapToGrid w:val="0"/>
        <w:spacing w:line="640" w:lineRule="exact"/>
        <w:rPr>
          <w:rFonts w:asciiTheme="minorEastAsia" w:hAnsiTheme="minorEastAsia"/>
          <w:sz w:val="28"/>
          <w:szCs w:val="28"/>
        </w:rPr>
      </w:pPr>
      <w:r w:rsidRPr="00FE4067">
        <w:rPr>
          <w:rFonts w:asciiTheme="minorEastAsia" w:hAnsiTheme="minorEastAsia"/>
          <w:sz w:val="28"/>
          <w:szCs w:val="28"/>
        </w:rPr>
        <w:t xml:space="preserve">　　国务院有关部门和省、自治区、直辖市教育行政主管部门可参照本通知要求对所辖高校自行组织检查，可将有关情况抄报我司。非我部直属高校的检查工作可由对应的教育行政主管部门参照本通知组织执行，必要时可申请与我部组成联合检查组。</w:t>
      </w:r>
    </w:p>
    <w:p w:rsidR="008175ED" w:rsidRPr="00FE4067" w:rsidRDefault="008175ED" w:rsidP="008175ED">
      <w:pPr>
        <w:adjustRightInd w:val="0"/>
        <w:snapToGrid w:val="0"/>
        <w:spacing w:line="640" w:lineRule="exact"/>
        <w:rPr>
          <w:rFonts w:asciiTheme="minorEastAsia" w:hAnsiTheme="minorEastAsia"/>
          <w:sz w:val="28"/>
          <w:szCs w:val="28"/>
        </w:rPr>
      </w:pPr>
      <w:r w:rsidRPr="00FE4067">
        <w:rPr>
          <w:rFonts w:asciiTheme="minorEastAsia" w:hAnsiTheme="minorEastAsia"/>
          <w:sz w:val="28"/>
          <w:szCs w:val="28"/>
        </w:rPr>
        <w:t xml:space="preserve">　　特此通知。</w:t>
      </w:r>
    </w:p>
    <w:p w:rsidR="008175ED" w:rsidRPr="00FE4067" w:rsidRDefault="008175ED" w:rsidP="008175ED">
      <w:pPr>
        <w:adjustRightInd w:val="0"/>
        <w:snapToGrid w:val="0"/>
        <w:spacing w:line="640" w:lineRule="exact"/>
        <w:rPr>
          <w:rFonts w:asciiTheme="minorEastAsia" w:hAnsiTheme="minorEastAsia"/>
          <w:sz w:val="28"/>
          <w:szCs w:val="28"/>
        </w:rPr>
      </w:pPr>
      <w:r w:rsidRPr="00FE4067">
        <w:rPr>
          <w:rFonts w:asciiTheme="minorEastAsia" w:hAnsiTheme="minorEastAsia"/>
          <w:sz w:val="28"/>
          <w:szCs w:val="28"/>
        </w:rPr>
        <w:lastRenderedPageBreak/>
        <w:t xml:space="preserve">　　联系人：教育部科技发展中心 孔翦</w:t>
      </w:r>
    </w:p>
    <w:p w:rsidR="008175ED" w:rsidRPr="00FE4067" w:rsidRDefault="008175ED" w:rsidP="008175ED">
      <w:pPr>
        <w:adjustRightInd w:val="0"/>
        <w:snapToGrid w:val="0"/>
        <w:spacing w:line="640" w:lineRule="exact"/>
        <w:rPr>
          <w:rFonts w:asciiTheme="minorEastAsia" w:hAnsiTheme="minorEastAsia"/>
          <w:sz w:val="28"/>
          <w:szCs w:val="28"/>
        </w:rPr>
      </w:pPr>
      <w:r w:rsidRPr="00FE4067">
        <w:rPr>
          <w:rFonts w:asciiTheme="minorEastAsia" w:hAnsiTheme="minorEastAsia"/>
          <w:sz w:val="28"/>
          <w:szCs w:val="28"/>
        </w:rPr>
        <w:t xml:space="preserve">　　电 话：010-82503990</w:t>
      </w:r>
    </w:p>
    <w:p w:rsidR="008175ED" w:rsidRPr="00FE4067" w:rsidRDefault="008175ED" w:rsidP="008175ED">
      <w:pPr>
        <w:adjustRightInd w:val="0"/>
        <w:snapToGrid w:val="0"/>
        <w:spacing w:line="640" w:lineRule="exact"/>
        <w:rPr>
          <w:rFonts w:asciiTheme="minorEastAsia" w:hAnsiTheme="minorEastAsia"/>
          <w:sz w:val="28"/>
          <w:szCs w:val="28"/>
        </w:rPr>
      </w:pPr>
      <w:r w:rsidRPr="00FE4067">
        <w:rPr>
          <w:rFonts w:asciiTheme="minorEastAsia" w:hAnsiTheme="minorEastAsia"/>
          <w:sz w:val="28"/>
          <w:szCs w:val="28"/>
        </w:rPr>
        <w:t xml:space="preserve">　　邮 箱：educma@cutech.edu.cn</w:t>
      </w:r>
    </w:p>
    <w:p w:rsidR="008175ED" w:rsidRPr="00FE4067" w:rsidRDefault="008175ED" w:rsidP="008175ED">
      <w:pPr>
        <w:adjustRightInd w:val="0"/>
        <w:snapToGrid w:val="0"/>
        <w:spacing w:line="640" w:lineRule="exact"/>
        <w:rPr>
          <w:rFonts w:asciiTheme="minorEastAsia" w:hAnsiTheme="minorEastAsia"/>
          <w:sz w:val="28"/>
          <w:szCs w:val="28"/>
        </w:rPr>
      </w:pPr>
      <w:r w:rsidRPr="00FE4067">
        <w:rPr>
          <w:rFonts w:asciiTheme="minorEastAsia" w:hAnsiTheme="minorEastAsia"/>
          <w:sz w:val="28"/>
          <w:szCs w:val="28"/>
        </w:rPr>
        <w:t xml:space="preserve">　　附 件：</w:t>
      </w:r>
      <w:hyperlink r:id="rId6" w:tgtFrame="CMSFILEINCONTENT" w:history="1">
        <w:r w:rsidRPr="00FE4067">
          <w:rPr>
            <w:rStyle w:val="a3"/>
            <w:rFonts w:asciiTheme="minorEastAsia" w:hAnsiTheme="minorEastAsia"/>
            <w:sz w:val="28"/>
            <w:szCs w:val="28"/>
          </w:rPr>
          <w:t>《2018年高等学校实验室安全检查项目表》条款分级及检查结果分级方案</w:t>
        </w:r>
      </w:hyperlink>
    </w:p>
    <w:p w:rsidR="008175ED" w:rsidRDefault="008175ED" w:rsidP="008175ED">
      <w:pPr>
        <w:adjustRightInd w:val="0"/>
        <w:snapToGrid w:val="0"/>
        <w:spacing w:line="640" w:lineRule="exact"/>
        <w:rPr>
          <w:rFonts w:asciiTheme="minorEastAsia" w:hAnsiTheme="minorEastAsia"/>
          <w:sz w:val="28"/>
          <w:szCs w:val="28"/>
        </w:rPr>
      </w:pPr>
      <w:r>
        <w:rPr>
          <w:rFonts w:asciiTheme="minorEastAsia" w:hAnsiTheme="minorEastAsia" w:hint="eastAsia"/>
          <w:sz w:val="28"/>
          <w:szCs w:val="28"/>
        </w:rPr>
        <w:t>（附件可登陆教育部科技发展中心网站下载）</w:t>
      </w:r>
      <w:r w:rsidRPr="00FE4067">
        <w:rPr>
          <w:rFonts w:asciiTheme="minorEastAsia" w:hAnsiTheme="minorEastAsia"/>
          <w:sz w:val="28"/>
          <w:szCs w:val="28"/>
        </w:rPr>
        <w:t xml:space="preserve">　</w:t>
      </w:r>
      <w:r>
        <w:rPr>
          <w:rFonts w:asciiTheme="minorEastAsia" w:hAnsiTheme="minorEastAsia"/>
          <w:sz w:val="28"/>
          <w:szCs w:val="28"/>
        </w:rPr>
        <w:t>  </w:t>
      </w:r>
      <w:r w:rsidRPr="00FE4067">
        <w:rPr>
          <w:rFonts w:asciiTheme="minorEastAsia" w:hAnsiTheme="minorEastAsia"/>
          <w:sz w:val="28"/>
          <w:szCs w:val="28"/>
        </w:rPr>
        <w:t xml:space="preserve">　　</w:t>
      </w:r>
    </w:p>
    <w:p w:rsidR="008175ED" w:rsidRPr="00FE4067" w:rsidRDefault="008175ED" w:rsidP="001A7C50">
      <w:pPr>
        <w:adjustRightInd w:val="0"/>
        <w:snapToGrid w:val="0"/>
        <w:spacing w:line="640" w:lineRule="exact"/>
        <w:ind w:firstLineChars="2000" w:firstLine="5600"/>
        <w:rPr>
          <w:rFonts w:asciiTheme="minorEastAsia" w:hAnsiTheme="minorEastAsia"/>
          <w:sz w:val="28"/>
          <w:szCs w:val="28"/>
        </w:rPr>
      </w:pPr>
      <w:r w:rsidRPr="00FE4067">
        <w:rPr>
          <w:rFonts w:asciiTheme="minorEastAsia" w:hAnsiTheme="minorEastAsia"/>
          <w:sz w:val="28"/>
          <w:szCs w:val="28"/>
        </w:rPr>
        <w:t>教育部科技发展中心</w:t>
      </w:r>
    </w:p>
    <w:p w:rsidR="00D41E09" w:rsidRDefault="008175ED" w:rsidP="008175ED">
      <w:pPr>
        <w:rPr>
          <w:rFonts w:asciiTheme="minorEastAsia" w:hAnsiTheme="minorEastAsia"/>
          <w:sz w:val="28"/>
          <w:szCs w:val="28"/>
        </w:rPr>
      </w:pPr>
      <w:r w:rsidRPr="00FE4067">
        <w:rPr>
          <w:rFonts w:asciiTheme="minorEastAsia" w:hAnsiTheme="minorEastAsia"/>
          <w:sz w:val="28"/>
          <w:szCs w:val="28"/>
        </w:rPr>
        <w:t xml:space="preserve">　</w:t>
      </w:r>
      <w:r>
        <w:rPr>
          <w:rFonts w:asciiTheme="minorEastAsia" w:hAnsiTheme="minorEastAsia" w:hint="eastAsia"/>
          <w:sz w:val="28"/>
          <w:szCs w:val="28"/>
        </w:rPr>
        <w:t xml:space="preserve"> </w:t>
      </w:r>
      <w:r>
        <w:rPr>
          <w:rFonts w:asciiTheme="minorEastAsia" w:hAnsiTheme="minorEastAsia"/>
          <w:sz w:val="28"/>
          <w:szCs w:val="28"/>
        </w:rPr>
        <w:t xml:space="preserve">                          </w:t>
      </w:r>
      <w:r w:rsidR="001A7C50">
        <w:rPr>
          <w:rFonts w:asciiTheme="minorEastAsia" w:hAnsiTheme="minorEastAsia"/>
          <w:sz w:val="28"/>
          <w:szCs w:val="28"/>
        </w:rPr>
        <w:t xml:space="preserve">          </w:t>
      </w:r>
      <w:r w:rsidRPr="00FE4067">
        <w:rPr>
          <w:rFonts w:asciiTheme="minorEastAsia" w:hAnsiTheme="minorEastAsia"/>
          <w:sz w:val="28"/>
          <w:szCs w:val="28"/>
        </w:rPr>
        <w:t xml:space="preserve">　2018年9月17日</w:t>
      </w:r>
    </w:p>
    <w:p w:rsidR="00F9121A" w:rsidRDefault="00F9121A" w:rsidP="008175ED">
      <w:pPr>
        <w:rPr>
          <w:rFonts w:asciiTheme="minorEastAsia" w:hAnsiTheme="minorEastAsia"/>
          <w:sz w:val="28"/>
          <w:szCs w:val="28"/>
        </w:rPr>
      </w:pPr>
    </w:p>
    <w:p w:rsidR="00F9121A" w:rsidRDefault="00F9121A" w:rsidP="008175ED">
      <w:pPr>
        <w:rPr>
          <w:rFonts w:asciiTheme="minorEastAsia" w:hAnsiTheme="minorEastAsia"/>
          <w:sz w:val="28"/>
          <w:szCs w:val="28"/>
        </w:rPr>
      </w:pPr>
    </w:p>
    <w:p w:rsidR="00F9121A" w:rsidRDefault="00F9121A" w:rsidP="008175ED">
      <w:pPr>
        <w:rPr>
          <w:rFonts w:asciiTheme="minorEastAsia" w:hAnsiTheme="minorEastAsia"/>
          <w:sz w:val="28"/>
          <w:szCs w:val="28"/>
        </w:rPr>
      </w:pPr>
    </w:p>
    <w:p w:rsidR="00F9121A" w:rsidRDefault="00F9121A" w:rsidP="008175ED">
      <w:pPr>
        <w:rPr>
          <w:rFonts w:asciiTheme="minorEastAsia" w:hAnsiTheme="minorEastAsia"/>
          <w:sz w:val="28"/>
          <w:szCs w:val="28"/>
        </w:rPr>
      </w:pPr>
    </w:p>
    <w:p w:rsidR="00F9121A" w:rsidRDefault="00F9121A" w:rsidP="008175ED">
      <w:pPr>
        <w:rPr>
          <w:rFonts w:asciiTheme="minorEastAsia" w:hAnsiTheme="minorEastAsia"/>
          <w:sz w:val="28"/>
          <w:szCs w:val="28"/>
        </w:rPr>
      </w:pPr>
    </w:p>
    <w:p w:rsidR="00F9121A" w:rsidRDefault="00F9121A" w:rsidP="008175ED">
      <w:pPr>
        <w:rPr>
          <w:rFonts w:asciiTheme="minorEastAsia" w:hAnsiTheme="minorEastAsia"/>
          <w:sz w:val="28"/>
          <w:szCs w:val="28"/>
        </w:rPr>
      </w:pPr>
    </w:p>
    <w:p w:rsidR="00F9121A" w:rsidRDefault="00F9121A" w:rsidP="008175ED">
      <w:pPr>
        <w:rPr>
          <w:rFonts w:asciiTheme="minorEastAsia" w:hAnsiTheme="minorEastAsia"/>
          <w:sz w:val="28"/>
          <w:szCs w:val="28"/>
        </w:rPr>
      </w:pPr>
    </w:p>
    <w:p w:rsidR="00F9121A" w:rsidRDefault="00F9121A" w:rsidP="008175ED">
      <w:pPr>
        <w:rPr>
          <w:rFonts w:asciiTheme="minorEastAsia" w:hAnsiTheme="minorEastAsia"/>
          <w:sz w:val="28"/>
          <w:szCs w:val="28"/>
        </w:rPr>
      </w:pPr>
    </w:p>
    <w:p w:rsidR="00F9121A" w:rsidRDefault="00F9121A" w:rsidP="008175ED">
      <w:pPr>
        <w:rPr>
          <w:rFonts w:asciiTheme="minorEastAsia" w:hAnsiTheme="minorEastAsia"/>
          <w:sz w:val="28"/>
          <w:szCs w:val="28"/>
        </w:rPr>
      </w:pPr>
    </w:p>
    <w:p w:rsidR="00F9121A" w:rsidRDefault="00F9121A" w:rsidP="008175ED">
      <w:pPr>
        <w:rPr>
          <w:rFonts w:asciiTheme="minorEastAsia" w:hAnsiTheme="minorEastAsia"/>
          <w:sz w:val="28"/>
          <w:szCs w:val="28"/>
        </w:rPr>
      </w:pPr>
    </w:p>
    <w:p w:rsidR="00F9121A" w:rsidRDefault="00F9121A" w:rsidP="008175ED">
      <w:pPr>
        <w:rPr>
          <w:rFonts w:asciiTheme="minorEastAsia" w:hAnsiTheme="minorEastAsia"/>
          <w:sz w:val="28"/>
          <w:szCs w:val="28"/>
        </w:rPr>
      </w:pPr>
    </w:p>
    <w:p w:rsidR="00F9121A" w:rsidRDefault="00F9121A" w:rsidP="008175ED">
      <w:pPr>
        <w:rPr>
          <w:rFonts w:asciiTheme="minorEastAsia" w:hAnsiTheme="minorEastAsia"/>
          <w:sz w:val="28"/>
          <w:szCs w:val="28"/>
        </w:rPr>
      </w:pPr>
    </w:p>
    <w:p w:rsidR="00F9121A" w:rsidRDefault="00F9121A" w:rsidP="008175ED">
      <w:pPr>
        <w:rPr>
          <w:rFonts w:asciiTheme="minorEastAsia" w:hAnsiTheme="minorEastAsia"/>
          <w:sz w:val="28"/>
          <w:szCs w:val="28"/>
        </w:rPr>
      </w:pPr>
    </w:p>
    <w:p w:rsidR="00F9121A" w:rsidRDefault="00F9121A" w:rsidP="008175ED">
      <w:pPr>
        <w:rPr>
          <w:rFonts w:asciiTheme="minorEastAsia" w:hAnsiTheme="minorEastAsia"/>
          <w:sz w:val="28"/>
          <w:szCs w:val="28"/>
        </w:rPr>
      </w:pPr>
    </w:p>
    <w:p w:rsidR="00F9121A" w:rsidRDefault="00F9121A" w:rsidP="00F9121A">
      <w:pPr>
        <w:spacing w:line="360" w:lineRule="auto"/>
        <w:jc w:val="left"/>
        <w:rPr>
          <w:rFonts w:ascii="华文仿宋" w:eastAsia="华文仿宋" w:hAnsi="华文仿宋" w:cs="华文仿宋"/>
          <w:b/>
          <w:sz w:val="32"/>
        </w:rPr>
      </w:pPr>
      <w:r>
        <w:rPr>
          <w:rFonts w:ascii="华文仿宋" w:eastAsia="华文仿宋" w:hAnsi="华文仿宋" w:cs="华文仿宋" w:hint="eastAsia"/>
          <w:b/>
          <w:sz w:val="32"/>
        </w:rPr>
        <w:lastRenderedPageBreak/>
        <w:t>附件：</w:t>
      </w:r>
    </w:p>
    <w:p w:rsidR="00F9121A" w:rsidRDefault="00F9121A" w:rsidP="00F9121A">
      <w:pPr>
        <w:spacing w:line="360" w:lineRule="auto"/>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《2018年高等学校实验室安全检查项目表》</w:t>
      </w:r>
    </w:p>
    <w:p w:rsidR="00F9121A" w:rsidRDefault="00F9121A" w:rsidP="00F9121A">
      <w:pPr>
        <w:spacing w:line="360" w:lineRule="auto"/>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条款分级及检查结果分级方案</w:t>
      </w:r>
    </w:p>
    <w:p w:rsidR="00F9121A" w:rsidRDefault="00F9121A" w:rsidP="00F9121A">
      <w:pPr>
        <w:spacing w:beforeLines="50" w:before="156" w:line="500" w:lineRule="exact"/>
        <w:ind w:firstLineChars="200" w:firstLine="560"/>
        <w:rPr>
          <w:rFonts w:ascii="仿宋" w:eastAsia="仿宋" w:hAnsi="仿宋"/>
          <w:sz w:val="28"/>
          <w:szCs w:val="24"/>
        </w:rPr>
      </w:pPr>
      <w:r>
        <w:rPr>
          <w:rFonts w:ascii="仿宋" w:eastAsia="仿宋" w:hAnsi="仿宋" w:hint="eastAsia"/>
          <w:sz w:val="28"/>
          <w:szCs w:val="24"/>
        </w:rPr>
        <w:t>为了提升</w:t>
      </w:r>
      <w:r>
        <w:rPr>
          <w:rFonts w:ascii="仿宋" w:eastAsia="仿宋" w:hAnsi="仿宋"/>
          <w:sz w:val="28"/>
          <w:szCs w:val="24"/>
        </w:rPr>
        <w:t>实验室安全检查的严肃性</w:t>
      </w:r>
      <w:r>
        <w:rPr>
          <w:rFonts w:ascii="仿宋" w:eastAsia="仿宋" w:hAnsi="仿宋" w:hint="eastAsia"/>
          <w:sz w:val="28"/>
          <w:szCs w:val="24"/>
        </w:rPr>
        <w:t>和</w:t>
      </w:r>
      <w:r>
        <w:rPr>
          <w:rFonts w:ascii="仿宋" w:eastAsia="仿宋" w:hAnsi="仿宋"/>
          <w:sz w:val="28"/>
          <w:szCs w:val="24"/>
        </w:rPr>
        <w:t>有效性</w:t>
      </w:r>
      <w:r>
        <w:rPr>
          <w:rFonts w:ascii="仿宋" w:eastAsia="仿宋" w:hAnsi="仿宋" w:hint="eastAsia"/>
          <w:sz w:val="28"/>
          <w:szCs w:val="24"/>
        </w:rPr>
        <w:t>，扎扎实实</w:t>
      </w:r>
      <w:r>
        <w:rPr>
          <w:rFonts w:ascii="仿宋" w:eastAsia="仿宋" w:hAnsi="仿宋"/>
          <w:sz w:val="28"/>
          <w:szCs w:val="24"/>
        </w:rPr>
        <w:t>推进高校</w:t>
      </w:r>
      <w:r>
        <w:rPr>
          <w:rFonts w:ascii="仿宋" w:eastAsia="仿宋" w:hAnsi="仿宋" w:hint="eastAsia"/>
          <w:sz w:val="28"/>
          <w:szCs w:val="24"/>
        </w:rPr>
        <w:t>实验室</w:t>
      </w:r>
      <w:r>
        <w:rPr>
          <w:rFonts w:ascii="仿宋" w:eastAsia="仿宋" w:hAnsi="仿宋"/>
          <w:sz w:val="28"/>
          <w:szCs w:val="24"/>
        </w:rPr>
        <w:t>安全</w:t>
      </w:r>
      <w:r>
        <w:rPr>
          <w:rFonts w:ascii="仿宋" w:eastAsia="仿宋" w:hAnsi="仿宋" w:hint="eastAsia"/>
          <w:sz w:val="28"/>
          <w:szCs w:val="24"/>
        </w:rPr>
        <w:t>管理</w:t>
      </w:r>
      <w:r>
        <w:rPr>
          <w:rFonts w:ascii="仿宋" w:eastAsia="仿宋" w:hAnsi="仿宋"/>
          <w:sz w:val="28"/>
          <w:szCs w:val="24"/>
        </w:rPr>
        <w:t>和预防工作</w:t>
      </w:r>
      <w:r>
        <w:rPr>
          <w:rFonts w:ascii="仿宋" w:eastAsia="仿宋" w:hAnsi="仿宋" w:hint="eastAsia"/>
          <w:sz w:val="28"/>
          <w:szCs w:val="24"/>
        </w:rPr>
        <w:t>，对检查条款和</w:t>
      </w:r>
      <w:r>
        <w:rPr>
          <w:rFonts w:ascii="仿宋" w:eastAsia="仿宋" w:hAnsi="仿宋"/>
          <w:sz w:val="28"/>
          <w:szCs w:val="24"/>
        </w:rPr>
        <w:t>检查结果</w:t>
      </w:r>
      <w:r>
        <w:rPr>
          <w:rFonts w:ascii="仿宋" w:eastAsia="仿宋" w:hAnsi="仿宋" w:hint="eastAsia"/>
          <w:sz w:val="28"/>
          <w:szCs w:val="24"/>
        </w:rPr>
        <w:t>进行了分级</w:t>
      </w:r>
      <w:r>
        <w:rPr>
          <w:rFonts w:ascii="仿宋" w:eastAsia="仿宋" w:hAnsi="仿宋"/>
          <w:sz w:val="28"/>
          <w:szCs w:val="24"/>
        </w:rPr>
        <w:t>。</w:t>
      </w:r>
    </w:p>
    <w:p w:rsidR="00F9121A" w:rsidRDefault="00F9121A" w:rsidP="00F9121A">
      <w:pPr>
        <w:spacing w:beforeLines="50" w:before="156" w:line="500" w:lineRule="exact"/>
        <w:ind w:firstLineChars="200" w:firstLine="602"/>
        <w:jc w:val="left"/>
        <w:rPr>
          <w:rFonts w:ascii="仿宋" w:eastAsia="仿宋" w:hAnsi="仿宋"/>
          <w:b/>
          <w:sz w:val="30"/>
          <w:szCs w:val="30"/>
        </w:rPr>
      </w:pPr>
      <w:r>
        <w:rPr>
          <w:rFonts w:ascii="仿宋" w:eastAsia="仿宋" w:hAnsi="仿宋" w:hint="eastAsia"/>
          <w:b/>
          <w:sz w:val="30"/>
          <w:szCs w:val="30"/>
        </w:rPr>
        <w:t>1.安全</w:t>
      </w:r>
      <w:r>
        <w:rPr>
          <w:rFonts w:ascii="仿宋" w:eastAsia="仿宋" w:hAnsi="仿宋"/>
          <w:b/>
          <w:sz w:val="30"/>
          <w:szCs w:val="30"/>
        </w:rPr>
        <w:t>检查</w:t>
      </w:r>
      <w:r>
        <w:rPr>
          <w:rFonts w:ascii="仿宋" w:eastAsia="仿宋" w:hAnsi="仿宋" w:hint="eastAsia"/>
          <w:b/>
          <w:sz w:val="30"/>
          <w:szCs w:val="30"/>
        </w:rPr>
        <w:t>条款分级</w:t>
      </w:r>
    </w:p>
    <w:p w:rsidR="00F9121A" w:rsidRDefault="00F9121A" w:rsidP="00F9121A">
      <w:pPr>
        <w:spacing w:line="500" w:lineRule="exact"/>
        <w:ind w:firstLineChars="200" w:firstLine="560"/>
        <w:jc w:val="left"/>
        <w:rPr>
          <w:rFonts w:ascii="仿宋" w:eastAsia="仿宋" w:hAnsi="仿宋"/>
          <w:sz w:val="28"/>
          <w:szCs w:val="24"/>
        </w:rPr>
      </w:pPr>
      <w:r>
        <w:rPr>
          <w:rFonts w:ascii="仿宋" w:eastAsia="仿宋" w:hAnsi="仿宋" w:hint="eastAsia"/>
          <w:sz w:val="28"/>
          <w:szCs w:val="24"/>
        </w:rPr>
        <w:t>根据《2018高等学校实验室安全检查项目表》35</w:t>
      </w:r>
      <w:r>
        <w:rPr>
          <w:rFonts w:ascii="仿宋" w:eastAsia="仿宋" w:hAnsi="仿宋"/>
          <w:sz w:val="28"/>
          <w:szCs w:val="24"/>
        </w:rPr>
        <w:t>8</w:t>
      </w:r>
      <w:r>
        <w:rPr>
          <w:rFonts w:ascii="仿宋" w:eastAsia="仿宋" w:hAnsi="仿宋" w:hint="eastAsia"/>
          <w:sz w:val="28"/>
          <w:szCs w:val="24"/>
        </w:rPr>
        <w:t>条款</w:t>
      </w:r>
      <w:r>
        <w:rPr>
          <w:rFonts w:ascii="仿宋" w:eastAsia="仿宋" w:hAnsi="仿宋"/>
          <w:sz w:val="28"/>
          <w:szCs w:val="24"/>
        </w:rPr>
        <w:t>，</w:t>
      </w:r>
      <w:r>
        <w:rPr>
          <w:rFonts w:ascii="仿宋" w:eastAsia="仿宋" w:hAnsi="仿宋" w:hint="eastAsia"/>
          <w:sz w:val="28"/>
          <w:szCs w:val="24"/>
        </w:rPr>
        <w:t>按照重要性、导向</w:t>
      </w:r>
      <w:r>
        <w:rPr>
          <w:rFonts w:ascii="仿宋" w:eastAsia="仿宋" w:hAnsi="仿宋"/>
          <w:sz w:val="28"/>
          <w:szCs w:val="24"/>
        </w:rPr>
        <w:t>性</w:t>
      </w:r>
      <w:r>
        <w:rPr>
          <w:rFonts w:ascii="仿宋" w:eastAsia="仿宋" w:hAnsi="仿宋" w:hint="eastAsia"/>
          <w:sz w:val="28"/>
          <w:szCs w:val="24"/>
        </w:rPr>
        <w:t>情况进行星级划分，其中</w:t>
      </w:r>
      <w:r>
        <w:rPr>
          <w:rFonts w:ascii="仿宋" w:eastAsia="仿宋" w:hAnsi="仿宋"/>
          <w:sz w:val="28"/>
          <w:szCs w:val="24"/>
        </w:rPr>
        <w:t>三星</w:t>
      </w:r>
      <w:r>
        <w:rPr>
          <w:rFonts w:ascii="仿宋" w:eastAsia="仿宋" w:hAnsi="仿宋" w:hint="eastAsia"/>
          <w:sz w:val="28"/>
          <w:szCs w:val="24"/>
        </w:rPr>
        <w:t>“***”5个，表示</w:t>
      </w:r>
      <w:r>
        <w:rPr>
          <w:rFonts w:ascii="仿宋" w:eastAsia="仿宋" w:hAnsi="仿宋"/>
          <w:sz w:val="28"/>
          <w:szCs w:val="24"/>
        </w:rPr>
        <w:t>非常重</w:t>
      </w:r>
      <w:r>
        <w:rPr>
          <w:rFonts w:ascii="仿宋" w:eastAsia="仿宋" w:hAnsi="仿宋" w:hint="eastAsia"/>
          <w:sz w:val="28"/>
          <w:szCs w:val="24"/>
        </w:rPr>
        <w:t>要</w:t>
      </w:r>
      <w:r>
        <w:rPr>
          <w:rFonts w:ascii="仿宋" w:eastAsia="仿宋" w:hAnsi="仿宋"/>
          <w:sz w:val="28"/>
          <w:szCs w:val="24"/>
        </w:rPr>
        <w:t>，</w:t>
      </w:r>
      <w:r>
        <w:rPr>
          <w:rFonts w:ascii="仿宋" w:eastAsia="仿宋" w:hAnsi="仿宋" w:hint="eastAsia"/>
          <w:sz w:val="28"/>
          <w:szCs w:val="24"/>
        </w:rPr>
        <w:t>属于</w:t>
      </w:r>
      <w:r>
        <w:rPr>
          <w:rFonts w:ascii="仿宋" w:eastAsia="仿宋" w:hAnsi="仿宋"/>
          <w:sz w:val="28"/>
          <w:szCs w:val="24"/>
        </w:rPr>
        <w:t>底线，必须符合</w:t>
      </w:r>
      <w:r>
        <w:rPr>
          <w:rFonts w:ascii="仿宋" w:eastAsia="仿宋" w:hAnsi="仿宋" w:hint="eastAsia"/>
          <w:sz w:val="28"/>
          <w:szCs w:val="24"/>
        </w:rPr>
        <w:t>；二星“**”25个，属于</w:t>
      </w:r>
      <w:r>
        <w:rPr>
          <w:rFonts w:ascii="仿宋" w:eastAsia="仿宋" w:hAnsi="仿宋"/>
          <w:sz w:val="28"/>
          <w:szCs w:val="24"/>
        </w:rPr>
        <w:t>很重要的条款，</w:t>
      </w:r>
      <w:r>
        <w:rPr>
          <w:rFonts w:ascii="仿宋" w:eastAsia="仿宋" w:hAnsi="仿宋" w:hint="eastAsia"/>
          <w:sz w:val="28"/>
          <w:szCs w:val="24"/>
        </w:rPr>
        <w:t>有严肃</w:t>
      </w:r>
      <w:r>
        <w:rPr>
          <w:rFonts w:ascii="仿宋" w:eastAsia="仿宋" w:hAnsi="仿宋"/>
          <w:sz w:val="28"/>
          <w:szCs w:val="24"/>
        </w:rPr>
        <w:t>性和导向性；</w:t>
      </w:r>
      <w:r>
        <w:rPr>
          <w:rFonts w:ascii="仿宋" w:eastAsia="仿宋" w:hAnsi="仿宋" w:hint="eastAsia"/>
          <w:sz w:val="28"/>
          <w:szCs w:val="24"/>
        </w:rPr>
        <w:t>一星“*”78个，属于</w:t>
      </w:r>
      <w:r>
        <w:rPr>
          <w:rFonts w:ascii="仿宋" w:eastAsia="仿宋" w:hAnsi="仿宋"/>
          <w:sz w:val="28"/>
          <w:szCs w:val="24"/>
        </w:rPr>
        <w:t>比较重要</w:t>
      </w:r>
      <w:r>
        <w:rPr>
          <w:rFonts w:ascii="仿宋" w:eastAsia="仿宋" w:hAnsi="仿宋" w:hint="eastAsia"/>
          <w:sz w:val="28"/>
          <w:szCs w:val="24"/>
        </w:rPr>
        <w:t>的条款（见表1）《》</w:t>
      </w:r>
      <w:r>
        <w:rPr>
          <w:rFonts w:ascii="仿宋" w:eastAsia="仿宋" w:hAnsi="仿宋"/>
          <w:sz w:val="28"/>
          <w:szCs w:val="24"/>
        </w:rPr>
        <w:t>。</w:t>
      </w:r>
    </w:p>
    <w:p w:rsidR="00F9121A" w:rsidRDefault="00F9121A" w:rsidP="00F9121A">
      <w:pPr>
        <w:spacing w:line="500" w:lineRule="exact"/>
        <w:ind w:firstLineChars="200" w:firstLine="560"/>
        <w:jc w:val="left"/>
        <w:rPr>
          <w:rFonts w:ascii="仿宋" w:eastAsia="仿宋" w:hAnsi="仿宋"/>
          <w:b/>
          <w:sz w:val="30"/>
          <w:szCs w:val="30"/>
        </w:rPr>
      </w:pPr>
      <w:r>
        <w:rPr>
          <w:rFonts w:ascii="仿宋" w:eastAsia="仿宋" w:hAnsi="仿宋" w:hint="eastAsia"/>
          <w:sz w:val="28"/>
          <w:szCs w:val="24"/>
        </w:rPr>
        <w:t>没有</w:t>
      </w:r>
      <w:r>
        <w:rPr>
          <w:rFonts w:ascii="仿宋" w:eastAsia="仿宋" w:hAnsi="仿宋"/>
          <w:sz w:val="28"/>
          <w:szCs w:val="24"/>
        </w:rPr>
        <w:t>星号的条款</w:t>
      </w:r>
      <w:r>
        <w:rPr>
          <w:rFonts w:ascii="仿宋" w:eastAsia="仿宋" w:hAnsi="仿宋" w:hint="eastAsia"/>
          <w:sz w:val="28"/>
          <w:szCs w:val="24"/>
        </w:rPr>
        <w:t>，</w:t>
      </w:r>
      <w:r>
        <w:rPr>
          <w:rFonts w:ascii="仿宋" w:eastAsia="仿宋" w:hAnsi="仿宋"/>
          <w:sz w:val="28"/>
          <w:szCs w:val="24"/>
        </w:rPr>
        <w:t>依然是高校实验室</w:t>
      </w:r>
      <w:r>
        <w:rPr>
          <w:rFonts w:ascii="仿宋" w:eastAsia="仿宋" w:hAnsi="仿宋" w:hint="eastAsia"/>
          <w:sz w:val="28"/>
          <w:szCs w:val="24"/>
        </w:rPr>
        <w:t>需</w:t>
      </w:r>
      <w:r>
        <w:rPr>
          <w:rFonts w:ascii="仿宋" w:eastAsia="仿宋" w:hAnsi="仿宋"/>
          <w:sz w:val="28"/>
          <w:szCs w:val="24"/>
        </w:rPr>
        <w:t>做好的方方面面</w:t>
      </w:r>
      <w:r>
        <w:rPr>
          <w:rFonts w:ascii="仿宋" w:eastAsia="仿宋" w:hAnsi="仿宋" w:hint="eastAsia"/>
          <w:sz w:val="28"/>
          <w:szCs w:val="24"/>
        </w:rPr>
        <w:t>，现场</w:t>
      </w:r>
      <w:r>
        <w:rPr>
          <w:rFonts w:ascii="仿宋" w:eastAsia="仿宋" w:hAnsi="仿宋"/>
          <w:sz w:val="28"/>
          <w:szCs w:val="24"/>
        </w:rPr>
        <w:t>检查时也会抽查，不可忽视。</w:t>
      </w:r>
    </w:p>
    <w:p w:rsidR="00F9121A" w:rsidRDefault="00F9121A" w:rsidP="00F9121A">
      <w:pPr>
        <w:spacing w:beforeLines="50" w:before="156" w:line="500" w:lineRule="exact"/>
        <w:ind w:firstLineChars="200" w:firstLine="602"/>
        <w:rPr>
          <w:rFonts w:ascii="仿宋" w:eastAsia="仿宋" w:hAnsi="仿宋"/>
          <w:b/>
          <w:sz w:val="30"/>
          <w:szCs w:val="30"/>
        </w:rPr>
      </w:pPr>
      <w:r>
        <w:rPr>
          <w:rFonts w:ascii="仿宋" w:eastAsia="仿宋" w:hAnsi="仿宋" w:hint="eastAsia"/>
          <w:b/>
          <w:sz w:val="30"/>
          <w:szCs w:val="30"/>
        </w:rPr>
        <w:t>2</w:t>
      </w:r>
      <w:r>
        <w:rPr>
          <w:rFonts w:ascii="仿宋" w:eastAsia="仿宋" w:hAnsi="仿宋"/>
          <w:b/>
          <w:sz w:val="30"/>
          <w:szCs w:val="30"/>
        </w:rPr>
        <w:t>.</w:t>
      </w:r>
      <w:r>
        <w:rPr>
          <w:rFonts w:ascii="仿宋" w:eastAsia="仿宋" w:hAnsi="仿宋" w:hint="eastAsia"/>
          <w:b/>
          <w:sz w:val="30"/>
          <w:szCs w:val="30"/>
        </w:rPr>
        <w:t>检查</w:t>
      </w:r>
      <w:r>
        <w:rPr>
          <w:rFonts w:ascii="仿宋" w:eastAsia="仿宋" w:hAnsi="仿宋"/>
          <w:b/>
          <w:sz w:val="30"/>
          <w:szCs w:val="30"/>
        </w:rPr>
        <w:t>结果分</w:t>
      </w:r>
      <w:r>
        <w:rPr>
          <w:rFonts w:ascii="仿宋" w:eastAsia="仿宋" w:hAnsi="仿宋" w:hint="eastAsia"/>
          <w:b/>
          <w:sz w:val="30"/>
          <w:szCs w:val="30"/>
        </w:rPr>
        <w:t>级</w:t>
      </w:r>
    </w:p>
    <w:p w:rsidR="00F9121A" w:rsidRDefault="00F9121A" w:rsidP="00F9121A">
      <w:pPr>
        <w:spacing w:line="500" w:lineRule="exact"/>
        <w:ind w:firstLineChars="200" w:firstLine="560"/>
        <w:rPr>
          <w:rFonts w:ascii="仿宋" w:eastAsia="仿宋" w:hAnsi="仿宋"/>
          <w:sz w:val="28"/>
          <w:szCs w:val="24"/>
        </w:rPr>
      </w:pPr>
      <w:r>
        <w:rPr>
          <w:rFonts w:ascii="仿宋" w:eastAsia="仿宋" w:hAnsi="仿宋" w:hint="eastAsia"/>
          <w:sz w:val="28"/>
          <w:szCs w:val="24"/>
        </w:rPr>
        <w:t>根据</w:t>
      </w:r>
      <w:r>
        <w:rPr>
          <w:rFonts w:ascii="仿宋" w:eastAsia="仿宋" w:hAnsi="仿宋"/>
          <w:sz w:val="28"/>
          <w:szCs w:val="24"/>
        </w:rPr>
        <w:t>专家组现场</w:t>
      </w:r>
      <w:r>
        <w:rPr>
          <w:rFonts w:ascii="仿宋" w:eastAsia="仿宋" w:hAnsi="仿宋" w:hint="eastAsia"/>
          <w:sz w:val="28"/>
          <w:szCs w:val="24"/>
        </w:rPr>
        <w:t>检查，</w:t>
      </w:r>
      <w:r>
        <w:rPr>
          <w:rFonts w:ascii="仿宋" w:eastAsia="仿宋" w:hAnsi="仿宋"/>
          <w:sz w:val="28"/>
          <w:szCs w:val="24"/>
        </w:rPr>
        <w:t>将</w:t>
      </w:r>
      <w:r>
        <w:rPr>
          <w:rFonts w:ascii="仿宋" w:eastAsia="仿宋" w:hAnsi="仿宋" w:hint="eastAsia"/>
          <w:sz w:val="28"/>
          <w:szCs w:val="24"/>
        </w:rPr>
        <w:t>结果分为四级，</w:t>
      </w:r>
      <w:r>
        <w:rPr>
          <w:rFonts w:ascii="仿宋" w:eastAsia="仿宋" w:hAnsi="仿宋"/>
          <w:sz w:val="28"/>
          <w:szCs w:val="24"/>
        </w:rPr>
        <w:t>即</w:t>
      </w:r>
      <w:r>
        <w:rPr>
          <w:rFonts w:ascii="仿宋" w:eastAsia="仿宋" w:hAnsi="仿宋" w:hint="eastAsia"/>
          <w:sz w:val="28"/>
          <w:szCs w:val="24"/>
        </w:rPr>
        <w:t>：</w:t>
      </w:r>
    </w:p>
    <w:p w:rsidR="00F9121A" w:rsidRDefault="00F9121A" w:rsidP="00F9121A">
      <w:pPr>
        <w:spacing w:line="500" w:lineRule="exact"/>
        <w:ind w:firstLineChars="200" w:firstLine="560"/>
        <w:rPr>
          <w:rFonts w:ascii="仿宋" w:eastAsia="仿宋" w:hAnsi="仿宋"/>
          <w:sz w:val="28"/>
          <w:szCs w:val="24"/>
        </w:rPr>
      </w:pPr>
      <w:r>
        <w:rPr>
          <w:rFonts w:ascii="仿宋" w:eastAsia="仿宋" w:hAnsi="仿宋" w:hint="eastAsia"/>
          <w:sz w:val="28"/>
          <w:szCs w:val="24"/>
        </w:rPr>
        <w:t>A级</w:t>
      </w:r>
      <w:r>
        <w:rPr>
          <w:rFonts w:ascii="仿宋" w:eastAsia="仿宋" w:hAnsi="仿宋"/>
          <w:sz w:val="28"/>
          <w:szCs w:val="24"/>
        </w:rPr>
        <w:t>：</w:t>
      </w:r>
      <w:r>
        <w:rPr>
          <w:rFonts w:ascii="仿宋" w:eastAsia="仿宋" w:hAnsi="仿宋" w:hint="eastAsia"/>
          <w:sz w:val="28"/>
          <w:szCs w:val="24"/>
        </w:rPr>
        <w:t>通过；</w:t>
      </w:r>
    </w:p>
    <w:p w:rsidR="00F9121A" w:rsidRDefault="00F9121A" w:rsidP="00F9121A">
      <w:pPr>
        <w:spacing w:line="500" w:lineRule="exact"/>
        <w:ind w:firstLineChars="200" w:firstLine="560"/>
        <w:rPr>
          <w:rFonts w:ascii="仿宋" w:eastAsia="仿宋" w:hAnsi="仿宋"/>
          <w:sz w:val="28"/>
          <w:szCs w:val="24"/>
        </w:rPr>
      </w:pPr>
      <w:r>
        <w:rPr>
          <w:rFonts w:ascii="仿宋" w:eastAsia="仿宋" w:hAnsi="仿宋" w:hint="eastAsia"/>
          <w:sz w:val="28"/>
          <w:szCs w:val="24"/>
        </w:rPr>
        <w:t>B级</w:t>
      </w:r>
      <w:r>
        <w:rPr>
          <w:rFonts w:ascii="仿宋" w:eastAsia="仿宋" w:hAnsi="仿宋"/>
          <w:sz w:val="28"/>
          <w:szCs w:val="24"/>
        </w:rPr>
        <w:t>：</w:t>
      </w:r>
      <w:r>
        <w:rPr>
          <w:rFonts w:ascii="仿宋" w:eastAsia="仿宋" w:hAnsi="仿宋" w:hint="eastAsia"/>
          <w:sz w:val="28"/>
          <w:szCs w:val="24"/>
        </w:rPr>
        <w:t>整改后通过；</w:t>
      </w:r>
    </w:p>
    <w:p w:rsidR="00F9121A" w:rsidRDefault="00F9121A" w:rsidP="00F9121A">
      <w:pPr>
        <w:spacing w:line="500" w:lineRule="exact"/>
        <w:ind w:firstLineChars="200" w:firstLine="560"/>
        <w:rPr>
          <w:rFonts w:ascii="仿宋" w:eastAsia="仿宋" w:hAnsi="仿宋"/>
          <w:sz w:val="28"/>
          <w:szCs w:val="24"/>
        </w:rPr>
      </w:pPr>
      <w:r>
        <w:rPr>
          <w:rFonts w:ascii="仿宋" w:eastAsia="仿宋" w:hAnsi="仿宋" w:hint="eastAsia"/>
          <w:sz w:val="28"/>
          <w:szCs w:val="24"/>
        </w:rPr>
        <w:t>C级</w:t>
      </w:r>
      <w:r>
        <w:rPr>
          <w:rFonts w:ascii="仿宋" w:eastAsia="仿宋" w:hAnsi="仿宋"/>
          <w:sz w:val="28"/>
          <w:szCs w:val="24"/>
        </w:rPr>
        <w:t>：</w:t>
      </w:r>
      <w:r>
        <w:rPr>
          <w:rFonts w:ascii="仿宋" w:eastAsia="仿宋" w:hAnsi="仿宋" w:hint="eastAsia"/>
          <w:sz w:val="28"/>
          <w:szCs w:val="24"/>
        </w:rPr>
        <w:t>整改，</w:t>
      </w:r>
      <w:r>
        <w:rPr>
          <w:rFonts w:ascii="仿宋" w:eastAsia="仿宋" w:hAnsi="仿宋"/>
          <w:sz w:val="28"/>
          <w:szCs w:val="24"/>
        </w:rPr>
        <w:t>经</w:t>
      </w:r>
      <w:r>
        <w:rPr>
          <w:rFonts w:ascii="仿宋" w:eastAsia="仿宋" w:hAnsi="仿宋" w:hint="eastAsia"/>
          <w:sz w:val="28"/>
          <w:szCs w:val="24"/>
        </w:rPr>
        <w:t>现场复查合格后通过；</w:t>
      </w:r>
    </w:p>
    <w:p w:rsidR="00F9121A" w:rsidRDefault="00F9121A" w:rsidP="00F9121A">
      <w:pPr>
        <w:spacing w:line="500" w:lineRule="exact"/>
        <w:ind w:firstLineChars="200" w:firstLine="560"/>
        <w:rPr>
          <w:rFonts w:ascii="仿宋" w:eastAsia="仿宋" w:hAnsi="仿宋"/>
          <w:sz w:val="24"/>
          <w:szCs w:val="24"/>
        </w:rPr>
      </w:pPr>
      <w:r>
        <w:rPr>
          <w:rFonts w:ascii="仿宋" w:eastAsia="仿宋" w:hAnsi="仿宋" w:hint="eastAsia"/>
          <w:sz w:val="28"/>
          <w:szCs w:val="24"/>
        </w:rPr>
        <w:t>D级</w:t>
      </w:r>
      <w:r>
        <w:rPr>
          <w:rFonts w:ascii="仿宋" w:eastAsia="仿宋" w:hAnsi="仿宋"/>
          <w:sz w:val="28"/>
          <w:szCs w:val="24"/>
        </w:rPr>
        <w:t>：</w:t>
      </w:r>
      <w:r>
        <w:rPr>
          <w:rFonts w:ascii="仿宋" w:eastAsia="仿宋" w:hAnsi="仿宋" w:hint="eastAsia"/>
          <w:sz w:val="28"/>
          <w:szCs w:val="24"/>
        </w:rPr>
        <w:t>不通过。</w:t>
      </w:r>
    </w:p>
    <w:p w:rsidR="00F9121A" w:rsidRDefault="00F9121A" w:rsidP="00F9121A">
      <w:pPr>
        <w:spacing w:beforeLines="50" w:before="156" w:line="500" w:lineRule="exact"/>
        <w:ind w:firstLineChars="200" w:firstLine="602"/>
        <w:jc w:val="left"/>
        <w:rPr>
          <w:rFonts w:ascii="仿宋" w:eastAsia="仿宋" w:hAnsi="仿宋"/>
          <w:b/>
          <w:sz w:val="30"/>
          <w:szCs w:val="30"/>
        </w:rPr>
      </w:pPr>
      <w:r>
        <w:rPr>
          <w:rFonts w:ascii="仿宋" w:eastAsia="仿宋" w:hAnsi="仿宋"/>
          <w:b/>
          <w:sz w:val="30"/>
          <w:szCs w:val="30"/>
        </w:rPr>
        <w:t>3</w:t>
      </w:r>
      <w:r>
        <w:rPr>
          <w:rFonts w:ascii="仿宋" w:eastAsia="仿宋" w:hAnsi="仿宋" w:hint="eastAsia"/>
          <w:b/>
          <w:sz w:val="30"/>
          <w:szCs w:val="30"/>
        </w:rPr>
        <w:t>.检查结果的</w:t>
      </w:r>
      <w:r>
        <w:rPr>
          <w:rFonts w:ascii="仿宋" w:eastAsia="仿宋" w:hAnsi="仿宋"/>
          <w:b/>
          <w:sz w:val="30"/>
          <w:szCs w:val="30"/>
        </w:rPr>
        <w:t>分</w:t>
      </w:r>
      <w:r>
        <w:rPr>
          <w:rFonts w:ascii="仿宋" w:eastAsia="仿宋" w:hAnsi="仿宋" w:hint="eastAsia"/>
          <w:b/>
          <w:sz w:val="30"/>
          <w:szCs w:val="30"/>
        </w:rPr>
        <w:t>级</w:t>
      </w:r>
      <w:r>
        <w:rPr>
          <w:rFonts w:ascii="仿宋" w:eastAsia="仿宋" w:hAnsi="仿宋"/>
          <w:b/>
          <w:sz w:val="30"/>
          <w:szCs w:val="30"/>
        </w:rPr>
        <w:t>判别</w:t>
      </w:r>
    </w:p>
    <w:p w:rsidR="00F9121A" w:rsidRDefault="00F9121A" w:rsidP="00F9121A">
      <w:pPr>
        <w:spacing w:line="500" w:lineRule="exact"/>
        <w:ind w:firstLineChars="200" w:firstLine="560"/>
        <w:jc w:val="left"/>
        <w:rPr>
          <w:rFonts w:ascii="仿宋" w:eastAsia="仿宋" w:hAnsi="仿宋"/>
          <w:sz w:val="28"/>
          <w:szCs w:val="24"/>
        </w:rPr>
      </w:pPr>
      <w:r>
        <w:rPr>
          <w:rFonts w:ascii="仿宋" w:eastAsia="仿宋" w:hAnsi="仿宋" w:hint="eastAsia"/>
          <w:sz w:val="28"/>
          <w:szCs w:val="24"/>
        </w:rPr>
        <w:t>根据现场检查</w:t>
      </w:r>
      <w:r>
        <w:rPr>
          <w:rFonts w:ascii="仿宋" w:eastAsia="仿宋" w:hAnsi="仿宋"/>
          <w:sz w:val="28"/>
          <w:szCs w:val="24"/>
        </w:rPr>
        <w:t>发现</w:t>
      </w:r>
      <w:r>
        <w:rPr>
          <w:rFonts w:ascii="仿宋" w:eastAsia="仿宋" w:hAnsi="仿宋" w:hint="eastAsia"/>
          <w:sz w:val="28"/>
          <w:szCs w:val="24"/>
        </w:rPr>
        <w:t>安全</w:t>
      </w:r>
      <w:r>
        <w:rPr>
          <w:rFonts w:ascii="仿宋" w:eastAsia="仿宋" w:hAnsi="仿宋"/>
          <w:sz w:val="28"/>
          <w:szCs w:val="24"/>
        </w:rPr>
        <w:t>问题和隐患的</w:t>
      </w:r>
      <w:r>
        <w:rPr>
          <w:rFonts w:ascii="仿宋" w:eastAsia="仿宋" w:hAnsi="仿宋" w:hint="eastAsia"/>
          <w:sz w:val="28"/>
          <w:szCs w:val="24"/>
        </w:rPr>
        <w:t>情况</w:t>
      </w:r>
      <w:r>
        <w:rPr>
          <w:rFonts w:ascii="仿宋" w:eastAsia="仿宋" w:hAnsi="仿宋"/>
          <w:sz w:val="28"/>
          <w:szCs w:val="24"/>
        </w:rPr>
        <w:t>，对照指标</w:t>
      </w:r>
      <w:r>
        <w:rPr>
          <w:rFonts w:ascii="仿宋" w:eastAsia="仿宋" w:hAnsi="仿宋" w:hint="eastAsia"/>
          <w:sz w:val="28"/>
          <w:szCs w:val="24"/>
        </w:rPr>
        <w:t>条款</w:t>
      </w:r>
      <w:r>
        <w:rPr>
          <w:rFonts w:ascii="仿宋" w:eastAsia="仿宋" w:hAnsi="仿宋"/>
          <w:sz w:val="28"/>
          <w:szCs w:val="24"/>
        </w:rPr>
        <w:t>的</w:t>
      </w:r>
      <w:r>
        <w:rPr>
          <w:rFonts w:ascii="仿宋" w:eastAsia="仿宋" w:hAnsi="仿宋" w:hint="eastAsia"/>
          <w:sz w:val="28"/>
          <w:szCs w:val="24"/>
        </w:rPr>
        <w:t>星级和</w:t>
      </w:r>
      <w:r>
        <w:rPr>
          <w:rFonts w:ascii="仿宋" w:eastAsia="仿宋" w:hAnsi="仿宋"/>
          <w:sz w:val="28"/>
          <w:szCs w:val="24"/>
        </w:rPr>
        <w:t>数量，</w:t>
      </w:r>
      <w:r>
        <w:rPr>
          <w:rFonts w:ascii="仿宋" w:eastAsia="仿宋" w:hAnsi="仿宋" w:hint="eastAsia"/>
          <w:sz w:val="28"/>
          <w:szCs w:val="24"/>
        </w:rPr>
        <w:t>判定</w:t>
      </w:r>
      <w:r>
        <w:rPr>
          <w:rFonts w:ascii="仿宋" w:eastAsia="仿宋" w:hAnsi="仿宋"/>
          <w:sz w:val="28"/>
          <w:szCs w:val="24"/>
        </w:rPr>
        <w:t>检查结果</w:t>
      </w:r>
      <w:r>
        <w:rPr>
          <w:rFonts w:ascii="仿宋" w:eastAsia="仿宋" w:hAnsi="仿宋" w:hint="eastAsia"/>
          <w:sz w:val="28"/>
          <w:szCs w:val="24"/>
        </w:rPr>
        <w:t>档级，</w:t>
      </w:r>
      <w:r>
        <w:rPr>
          <w:rFonts w:ascii="仿宋" w:eastAsia="仿宋" w:hAnsi="仿宋"/>
          <w:sz w:val="28"/>
          <w:szCs w:val="24"/>
        </w:rPr>
        <w:t>作为</w:t>
      </w:r>
      <w:r>
        <w:rPr>
          <w:rFonts w:ascii="仿宋" w:eastAsia="仿宋" w:hAnsi="仿宋" w:hint="eastAsia"/>
          <w:sz w:val="28"/>
          <w:szCs w:val="24"/>
        </w:rPr>
        <w:t>现场</w:t>
      </w:r>
      <w:r>
        <w:rPr>
          <w:rFonts w:ascii="仿宋" w:eastAsia="仿宋" w:hAnsi="仿宋"/>
          <w:sz w:val="28"/>
          <w:szCs w:val="24"/>
        </w:rPr>
        <w:t>检查的结</w:t>
      </w:r>
      <w:r>
        <w:rPr>
          <w:rFonts w:ascii="仿宋" w:eastAsia="仿宋" w:hAnsi="仿宋" w:hint="eastAsia"/>
          <w:sz w:val="28"/>
          <w:szCs w:val="24"/>
        </w:rPr>
        <w:t>果（见</w:t>
      </w:r>
      <w:r>
        <w:rPr>
          <w:rFonts w:ascii="仿宋" w:eastAsia="仿宋" w:hAnsi="仿宋"/>
          <w:sz w:val="28"/>
          <w:szCs w:val="24"/>
        </w:rPr>
        <w:t>表</w:t>
      </w:r>
      <w:r>
        <w:rPr>
          <w:rFonts w:ascii="仿宋" w:eastAsia="仿宋" w:hAnsi="仿宋" w:hint="eastAsia"/>
          <w:sz w:val="28"/>
          <w:szCs w:val="24"/>
        </w:rPr>
        <w:t>2）。</w:t>
      </w:r>
    </w:p>
    <w:p w:rsidR="00F9121A" w:rsidRDefault="00F9121A" w:rsidP="00F9121A">
      <w:pPr>
        <w:spacing w:line="500" w:lineRule="exact"/>
        <w:ind w:firstLineChars="200" w:firstLine="560"/>
        <w:rPr>
          <w:rFonts w:ascii="仿宋" w:eastAsia="仿宋" w:hAnsi="仿宋"/>
          <w:sz w:val="28"/>
          <w:szCs w:val="24"/>
        </w:rPr>
      </w:pPr>
    </w:p>
    <w:p w:rsidR="00F9121A" w:rsidRDefault="00F9121A" w:rsidP="00F9121A">
      <w:pPr>
        <w:spacing w:line="500" w:lineRule="exact"/>
        <w:rPr>
          <w:rFonts w:ascii="仿宋" w:eastAsia="仿宋" w:hAnsi="仿宋"/>
          <w:b/>
          <w:bCs/>
          <w:sz w:val="28"/>
          <w:szCs w:val="24"/>
        </w:rPr>
      </w:pPr>
      <w:r>
        <w:rPr>
          <w:rFonts w:ascii="仿宋" w:eastAsia="仿宋" w:hAnsi="仿宋" w:hint="eastAsia"/>
          <w:b/>
          <w:bCs/>
          <w:sz w:val="28"/>
          <w:szCs w:val="24"/>
        </w:rPr>
        <w:t>表1.</w:t>
      </w:r>
    </w:p>
    <w:p w:rsidR="00F9121A" w:rsidRDefault="00F9121A" w:rsidP="00F9121A">
      <w:pPr>
        <w:spacing w:line="500" w:lineRule="exact"/>
        <w:jc w:val="center"/>
        <w:rPr>
          <w:rFonts w:ascii="仿宋" w:eastAsia="仿宋" w:hAnsi="仿宋"/>
          <w:sz w:val="28"/>
          <w:szCs w:val="24"/>
        </w:rPr>
      </w:pPr>
      <w:r>
        <w:rPr>
          <w:rFonts w:ascii="仿宋" w:eastAsia="仿宋" w:hAnsi="仿宋" w:hint="eastAsia"/>
          <w:b/>
          <w:sz w:val="28"/>
          <w:szCs w:val="24"/>
        </w:rPr>
        <w:t>实验室</w:t>
      </w:r>
      <w:r>
        <w:rPr>
          <w:rFonts w:ascii="仿宋" w:eastAsia="仿宋" w:hAnsi="仿宋"/>
          <w:b/>
          <w:sz w:val="28"/>
          <w:szCs w:val="24"/>
        </w:rPr>
        <w:t>安全检查条款</w:t>
      </w:r>
      <w:r>
        <w:rPr>
          <w:rFonts w:ascii="仿宋" w:eastAsia="仿宋" w:hAnsi="仿宋" w:hint="eastAsia"/>
          <w:b/>
          <w:sz w:val="28"/>
          <w:szCs w:val="24"/>
        </w:rPr>
        <w:t>星号</w:t>
      </w:r>
      <w:r>
        <w:rPr>
          <w:rFonts w:ascii="仿宋" w:eastAsia="仿宋" w:hAnsi="仿宋"/>
          <w:b/>
          <w:sz w:val="28"/>
          <w:szCs w:val="24"/>
        </w:rPr>
        <w:t>分级</w:t>
      </w:r>
    </w:p>
    <w:tbl>
      <w:tblPr>
        <w:tblStyle w:val="a7"/>
        <w:tblpPr w:leftFromText="180" w:rightFromText="180" w:vertAnchor="text" w:horzAnchor="margin" w:tblpXSpec="center" w:tblpY="37"/>
        <w:tblW w:w="9493" w:type="dxa"/>
        <w:tblLayout w:type="fixed"/>
        <w:tblLook w:val="04A0" w:firstRow="1" w:lastRow="0" w:firstColumn="1" w:lastColumn="0" w:noHBand="0" w:noVBand="1"/>
      </w:tblPr>
      <w:tblGrid>
        <w:gridCol w:w="562"/>
        <w:gridCol w:w="851"/>
        <w:gridCol w:w="1843"/>
        <w:gridCol w:w="5528"/>
        <w:gridCol w:w="709"/>
      </w:tblGrid>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b/>
                <w:sz w:val="24"/>
                <w:szCs w:val="24"/>
              </w:rPr>
            </w:pPr>
            <w:r>
              <w:rPr>
                <w:rFonts w:asciiTheme="minorEastAsia" w:hAnsiTheme="minorEastAsia" w:hint="eastAsia"/>
                <w:b/>
                <w:sz w:val="24"/>
                <w:szCs w:val="24"/>
              </w:rPr>
              <w:t>序</w:t>
            </w:r>
            <w:r>
              <w:rPr>
                <w:rFonts w:asciiTheme="minorEastAsia" w:hAnsiTheme="minorEastAsia" w:hint="eastAsia"/>
                <w:b/>
                <w:sz w:val="24"/>
                <w:szCs w:val="24"/>
              </w:rPr>
              <w:lastRenderedPageBreak/>
              <w:t>号</w:t>
            </w:r>
          </w:p>
        </w:tc>
        <w:tc>
          <w:tcPr>
            <w:tcW w:w="851"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b/>
                <w:sz w:val="24"/>
                <w:szCs w:val="24"/>
              </w:rPr>
            </w:pPr>
            <w:r>
              <w:rPr>
                <w:rFonts w:asciiTheme="minorEastAsia" w:hAnsiTheme="minorEastAsia" w:hint="eastAsia"/>
                <w:b/>
                <w:sz w:val="24"/>
                <w:szCs w:val="24"/>
              </w:rPr>
              <w:lastRenderedPageBreak/>
              <w:t>编号</w:t>
            </w:r>
          </w:p>
        </w:tc>
        <w:tc>
          <w:tcPr>
            <w:tcW w:w="1843"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b/>
                <w:sz w:val="24"/>
                <w:szCs w:val="24"/>
              </w:rPr>
            </w:pPr>
            <w:r>
              <w:rPr>
                <w:rFonts w:asciiTheme="minorEastAsia" w:hAnsiTheme="minorEastAsia" w:hint="eastAsia"/>
                <w:b/>
                <w:sz w:val="24"/>
                <w:szCs w:val="24"/>
              </w:rPr>
              <w:t>小类</w:t>
            </w:r>
            <w:r>
              <w:rPr>
                <w:rFonts w:asciiTheme="minorEastAsia" w:hAnsiTheme="minorEastAsia"/>
                <w:b/>
                <w:sz w:val="24"/>
                <w:szCs w:val="24"/>
              </w:rPr>
              <w:t>名称</w:t>
            </w:r>
          </w:p>
        </w:tc>
        <w:tc>
          <w:tcPr>
            <w:tcW w:w="5528"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b/>
                <w:sz w:val="24"/>
                <w:szCs w:val="24"/>
              </w:rPr>
            </w:pPr>
            <w:r>
              <w:rPr>
                <w:rFonts w:asciiTheme="minorEastAsia" w:hAnsiTheme="minorEastAsia" w:hint="eastAsia"/>
                <w:b/>
                <w:sz w:val="24"/>
                <w:szCs w:val="24"/>
              </w:rPr>
              <w:t>检查</w:t>
            </w:r>
            <w:r>
              <w:rPr>
                <w:rFonts w:asciiTheme="minorEastAsia" w:hAnsiTheme="minorEastAsia"/>
                <w:b/>
                <w:sz w:val="24"/>
                <w:szCs w:val="24"/>
              </w:rPr>
              <w:t>项目</w:t>
            </w:r>
          </w:p>
        </w:tc>
        <w:tc>
          <w:tcPr>
            <w:tcW w:w="709"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b/>
                <w:sz w:val="24"/>
                <w:szCs w:val="24"/>
              </w:rPr>
            </w:pPr>
            <w:r>
              <w:rPr>
                <w:rFonts w:asciiTheme="minorEastAsia" w:hAnsiTheme="minorEastAsia" w:hint="eastAsia"/>
                <w:b/>
                <w:sz w:val="24"/>
                <w:szCs w:val="24"/>
              </w:rPr>
              <w:t>条款</w:t>
            </w:r>
          </w:p>
          <w:p w:rsidR="00F9121A" w:rsidRDefault="00F9121A" w:rsidP="000C6BD8">
            <w:pPr>
              <w:spacing w:line="320" w:lineRule="exact"/>
              <w:jc w:val="center"/>
              <w:rPr>
                <w:rFonts w:asciiTheme="minorEastAsia" w:hAnsiTheme="minorEastAsia"/>
                <w:b/>
                <w:sz w:val="24"/>
                <w:szCs w:val="24"/>
              </w:rPr>
            </w:pPr>
            <w:r>
              <w:rPr>
                <w:rFonts w:asciiTheme="minorEastAsia" w:hAnsiTheme="minorEastAsia" w:hint="eastAsia"/>
                <w:b/>
                <w:sz w:val="24"/>
                <w:szCs w:val="24"/>
              </w:rPr>
              <w:lastRenderedPageBreak/>
              <w:t>等级</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lastRenderedPageBreak/>
              <w:t>1</w:t>
            </w:r>
          </w:p>
        </w:tc>
        <w:tc>
          <w:tcPr>
            <w:tcW w:w="851" w:type="dxa"/>
            <w:shd w:val="clear" w:color="auto" w:fill="auto"/>
            <w:tcMar>
              <w:left w:w="45" w:type="dxa"/>
              <w:right w:w="45" w:type="dxa"/>
            </w:tcMar>
            <w:vAlign w:val="center"/>
          </w:tcPr>
          <w:p w:rsidR="00F9121A" w:rsidRDefault="00F9121A" w:rsidP="000C6BD8">
            <w:pPr>
              <w:spacing w:line="320" w:lineRule="exact"/>
              <w:rPr>
                <w:rFonts w:asciiTheme="minorEastAsia" w:hAnsiTheme="minorEastAsia"/>
                <w:sz w:val="24"/>
                <w:szCs w:val="24"/>
              </w:rPr>
            </w:pPr>
            <w:r>
              <w:rPr>
                <w:rFonts w:hint="eastAsia"/>
                <w:sz w:val="24"/>
                <w:szCs w:val="24"/>
              </w:rPr>
              <w:t>1.1.1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学校层面安全责任体系</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有校级实验室安全工作领导机构，由校领导作为负责人，相关职能部门参与，设办公室</w:t>
            </w:r>
          </w:p>
        </w:tc>
        <w:tc>
          <w:tcPr>
            <w:tcW w:w="709"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2</w:t>
            </w:r>
          </w:p>
        </w:tc>
        <w:tc>
          <w:tcPr>
            <w:tcW w:w="851" w:type="dxa"/>
            <w:shd w:val="clear" w:color="auto" w:fill="auto"/>
            <w:tcMar>
              <w:left w:w="45" w:type="dxa"/>
              <w:right w:w="45" w:type="dxa"/>
            </w:tcMar>
            <w:vAlign w:val="center"/>
          </w:tcPr>
          <w:p w:rsidR="00F9121A" w:rsidRDefault="00F9121A" w:rsidP="000C6BD8">
            <w:pPr>
              <w:spacing w:line="320" w:lineRule="exact"/>
              <w:rPr>
                <w:rFonts w:asciiTheme="minorEastAsia" w:hAnsiTheme="minorEastAsia"/>
                <w:sz w:val="24"/>
                <w:szCs w:val="24"/>
              </w:rPr>
            </w:pPr>
            <w:r>
              <w:rPr>
                <w:rFonts w:ascii="Times New Roman" w:hAnsi="Times New Roman"/>
                <w:color w:val="000000"/>
                <w:szCs w:val="21"/>
              </w:rPr>
              <w:t>1.1.2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学校层面安全责任体系</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有处级职能部门主管实验室技术安全工作，下设实验室安全管理科室（3万学生规模以上且仪器设备总值超过3亿元的学校），或有专职的实验室安全管理人员</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3</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2.1.1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校级层面实验室安全管理制度</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有实验室技术安全管理办法</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4</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8.1.2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危险化学品采购、验收、发放</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剧毒品、易制毒品、易制爆品、爆炸品购买前须经学校审批，报公安部门批准或备案后，向具有经营许可资质的单位购买。校职能部门保留资料、建立档案。不得私自从外单位获取管控化学品</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5</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9.3.6</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病原微生物采购与保管</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自行分离高致病性病原微生物，必须在相应安全等级的实验室中进行，并报卫生或农业主管部门批准，方可保存和开展实验，资料报学校备案</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6</w:t>
            </w:r>
          </w:p>
        </w:tc>
        <w:tc>
          <w:tcPr>
            <w:tcW w:w="851" w:type="dxa"/>
            <w:shd w:val="clear" w:color="auto" w:fill="auto"/>
            <w:tcMar>
              <w:left w:w="45" w:type="dxa"/>
              <w:right w:w="45" w:type="dxa"/>
            </w:tcMar>
            <w:vAlign w:val="center"/>
          </w:tcPr>
          <w:p w:rsidR="00F9121A" w:rsidRDefault="00F9121A" w:rsidP="000C6BD8">
            <w:pPr>
              <w:spacing w:line="320" w:lineRule="exact"/>
              <w:rPr>
                <w:rFonts w:asciiTheme="minorEastAsia" w:hAnsiTheme="minorEastAsia"/>
                <w:sz w:val="24"/>
                <w:szCs w:val="24"/>
              </w:rPr>
            </w:pPr>
            <w:r>
              <w:rPr>
                <w:rFonts w:ascii="Times New Roman" w:hAnsi="Times New Roman"/>
                <w:color w:val="000000"/>
                <w:szCs w:val="21"/>
              </w:rPr>
              <w:t>1.1.5</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学校层面安全责任体系</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各级主管实验室安全的负责人到岗一年内参与了实验室安全培训，有培训证书</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7</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1.2.1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院级层面安全责任体系</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成立实验室安全领导小组，由党/政主要领导作为负责人，研究所、中心、教研室、实验室等负责人参加。分管实验室的领导主管实验室安全</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8</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Cs w:val="21"/>
              </w:rPr>
            </w:pPr>
            <w:r>
              <w:rPr>
                <w:rFonts w:ascii="Times New Roman" w:hAnsi="Times New Roman"/>
                <w:color w:val="000000"/>
                <w:sz w:val="24"/>
                <w:szCs w:val="24"/>
              </w:rPr>
              <w:t>2.1.3</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校级层面实验室安全管理制度</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有实验室安全检查制度</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9</w:t>
            </w:r>
          </w:p>
        </w:tc>
        <w:tc>
          <w:tcPr>
            <w:tcW w:w="851" w:type="dxa"/>
            <w:shd w:val="clear" w:color="auto" w:fill="auto"/>
            <w:tcMar>
              <w:left w:w="45" w:type="dxa"/>
              <w:right w:w="45" w:type="dxa"/>
            </w:tcMar>
            <w:vAlign w:val="center"/>
          </w:tcPr>
          <w:p w:rsidR="00F9121A" w:rsidRDefault="00F9121A" w:rsidP="000C6BD8">
            <w:pPr>
              <w:spacing w:line="320" w:lineRule="exact"/>
              <w:rPr>
                <w:rFonts w:asciiTheme="minorEastAsia" w:hAnsiTheme="minorEastAsia"/>
                <w:sz w:val="24"/>
                <w:szCs w:val="24"/>
              </w:rPr>
            </w:pPr>
            <w:r>
              <w:rPr>
                <w:rFonts w:ascii="Times New Roman" w:hAnsi="Times New Roman"/>
                <w:color w:val="000000"/>
                <w:szCs w:val="21"/>
              </w:rPr>
              <w:t>2.1.4</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校级层面实验室安全管理制度</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有实验室安全教育与实验室准入制度</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10</w:t>
            </w:r>
          </w:p>
        </w:tc>
        <w:tc>
          <w:tcPr>
            <w:tcW w:w="851" w:type="dxa"/>
            <w:shd w:val="clear" w:color="auto" w:fill="auto"/>
            <w:tcMar>
              <w:left w:w="45" w:type="dxa"/>
              <w:right w:w="45" w:type="dxa"/>
            </w:tcMar>
            <w:vAlign w:val="center"/>
          </w:tcPr>
          <w:p w:rsidR="00F9121A" w:rsidRDefault="00F9121A" w:rsidP="000C6BD8">
            <w:pPr>
              <w:spacing w:line="320" w:lineRule="exact"/>
              <w:rPr>
                <w:rFonts w:asciiTheme="minorEastAsia" w:hAnsiTheme="minorEastAsia"/>
                <w:sz w:val="24"/>
                <w:szCs w:val="24"/>
              </w:rPr>
            </w:pPr>
            <w:r>
              <w:rPr>
                <w:rFonts w:ascii="Times New Roman" w:hAnsi="Times New Roman"/>
                <w:color w:val="000000"/>
                <w:szCs w:val="21"/>
              </w:rPr>
              <w:t>2.1.7</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校级层面实验室安全管理制度</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color w:val="000000"/>
                <w:szCs w:val="21"/>
              </w:rPr>
              <w:t>有实验室突发事件应急预案（包括化学、生物、辐射、电气、机械等分类）</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1</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3.1.1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安全教育活动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开设合适的实验室安全必修课或选修课</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12</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Cs w:val="21"/>
              </w:rPr>
            </w:pPr>
            <w:r>
              <w:rPr>
                <w:rFonts w:ascii="Times New Roman" w:hAnsi="Times New Roman"/>
                <w:color w:val="000000"/>
                <w:sz w:val="24"/>
                <w:szCs w:val="24"/>
              </w:rPr>
              <w:t>3.2.1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实验室安全考试系统</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建立了实验室安全知识考试系统，具有学习与考试功能</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13</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4.1.1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危险源辨识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学校、学院层面建立了实验室安全危险源清单，内容包括涉及单位、房间、类别、数量、责任人等信息</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14</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4.1.3</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危险源辨识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涉及剧毒品、病原微生物、放射性同位素、强磁等高危场所，具备符合要求的软硬件设施，并有明显的警示标识</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15</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4.3.3</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隐患整改</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如有重大隐患，实验室应立即停止实验活动，采取相应防范措施或整改完成后方能恢复实验</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16</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hint="eastAsia"/>
                <w:color w:val="000000"/>
                <w:sz w:val="24"/>
                <w:szCs w:val="24"/>
              </w:rPr>
              <w:t>6.4.1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门禁监控</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在剧毒品、病原微生物，特种设备和放射源存放点等重点场所安装门禁和监控设施，运转正常，有专人管理</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17</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Cs w:val="21"/>
              </w:rPr>
            </w:pPr>
            <w:r>
              <w:rPr>
                <w:rFonts w:ascii="Times New Roman" w:hAnsi="Times New Roman"/>
                <w:color w:val="000000"/>
                <w:sz w:val="24"/>
                <w:szCs w:val="24"/>
              </w:rPr>
              <w:t>8.4.1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剧毒品管理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配备专门的保险柜并固定，实行双人双锁保管；对于具有高挥发性、低闪点的剧毒品应存放在具有防爆功能的冰箱内，并配备双锁；配备监控与报警装置</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18</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8.4.2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剧毒品管理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执行双人收发、双人运输；应严格记录品种、规格以及购入、发放、退回的日期、单位及经手人、数量以及结存数量</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lastRenderedPageBreak/>
              <w:t>19</w:t>
            </w:r>
          </w:p>
        </w:tc>
        <w:tc>
          <w:tcPr>
            <w:tcW w:w="851" w:type="dxa"/>
            <w:shd w:val="clear" w:color="auto" w:fill="auto"/>
            <w:tcMar>
              <w:left w:w="45" w:type="dxa"/>
              <w:right w:w="45" w:type="dxa"/>
            </w:tcMar>
            <w:vAlign w:val="center"/>
          </w:tcPr>
          <w:p w:rsidR="00F9121A" w:rsidRDefault="00F9121A" w:rsidP="000C6BD8">
            <w:pPr>
              <w:spacing w:line="320" w:lineRule="exact"/>
              <w:rPr>
                <w:color w:val="000000"/>
                <w:sz w:val="24"/>
                <w:szCs w:val="24"/>
              </w:rPr>
            </w:pPr>
            <w:r>
              <w:rPr>
                <w:rFonts w:ascii="Times New Roman" w:hAnsi="Times New Roman"/>
                <w:color w:val="000000"/>
                <w:sz w:val="24"/>
                <w:szCs w:val="24"/>
              </w:rPr>
              <w:t>8.4.3</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剧毒品管理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使用时有两人同时在场，且计量取用后立即放回保险柜，详细记载用途，双人签字</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20</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8.5.1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其它管控化学品管理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易制毒品分类存放、专人保管，做好领取、使用、处置记录；其中第一类易制毒品实行“五双”管理制度</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21</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8.5.3</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其它管控化学品管理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爆炸品单独隔离，限量存储，使用、销毁按照公安部门的要求执行</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22</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8.6.1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bCs/>
                <w:color w:val="000000"/>
                <w:szCs w:val="21"/>
              </w:rPr>
              <w:t>实验气体管理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从合格供应商处采购实验气体，建立气体钢瓶台帐</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23</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8.6.3</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实验气体管理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涉及剧毒、易燃易爆气体的场所，配有通风设施和合适的监控报警装置等，张贴必要的安全警示标识</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24</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8.7.1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化学废弃物管理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与有资质的处置单位（企业）签约处置化学废弃物</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25</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9.1.1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实验室资质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开展病原微生物实验研究的实验室，须具备相应的安全等级资质。其中BSL-3/ABSL-3、BSL-4/ABSL-4实验室须经政府部门批准建设；BSL-1/ ABSL-1、BSL-2/ ABSL-2 实验室由学校建设后报政府卫生或农业部门备案</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26</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9.1.3</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实验室资质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开展未经灭活的高致病性病原微生物（列入一类、二类）相关实验和研究，必须在BSL-3/ABSL-3、BSL-4/ABSL-4实验室中进行</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27</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9.1.4</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实验室资质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开展低致病性病原微生物（列入三类、四类），或经灭活的高致病性感染性材料的相关实验和研究，必须在BSL-1/ ABSL-1、BSL-2/ ABSL-2或以上等级实验室中进行</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28</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9.3.1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病原微生物采购与保管</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采购高致病性病原微生物菌（毒）种，须按照学校流程审批，报行业主管部门批准</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29</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9.7.5</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生物实验废物处置</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涉及病原微生物的实验废弃物必须进行高温高压灭菌或化学浸泡处理，并有处置的记录。高致病性生物材料废弃物处置实现溯源追踪</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30</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10.1.1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实验室资质与人员要求</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涉源学校须取得“辐射安全许可证”，并按规定在放射性核素种类和用量以及射线种类许可范围内开展实验</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31</w:t>
            </w:r>
          </w:p>
        </w:tc>
        <w:tc>
          <w:tcPr>
            <w:tcW w:w="851" w:type="dxa"/>
            <w:shd w:val="clear" w:color="auto" w:fill="auto"/>
            <w:tcMar>
              <w:left w:w="45" w:type="dxa"/>
              <w:right w:w="45" w:type="dxa"/>
            </w:tcMar>
            <w:vAlign w:val="center"/>
          </w:tcPr>
          <w:p w:rsidR="00F9121A" w:rsidRDefault="00F9121A" w:rsidP="000C6BD8">
            <w:pPr>
              <w:spacing w:line="320" w:lineRule="exact"/>
              <w:rPr>
                <w:rFonts w:asciiTheme="minorEastAsia" w:hAnsiTheme="minorEastAsia"/>
                <w:sz w:val="24"/>
                <w:szCs w:val="24"/>
              </w:rPr>
            </w:pPr>
            <w:r>
              <w:rPr>
                <w:rFonts w:ascii="Times New Roman" w:hAnsi="Times New Roman"/>
                <w:color w:val="000000"/>
                <w:sz w:val="24"/>
                <w:szCs w:val="24"/>
              </w:rPr>
              <w:t>1.1.4</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szCs w:val="21"/>
              </w:rPr>
              <w:t>学校层面安全责任体系</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color w:val="000000"/>
                <w:szCs w:val="21"/>
              </w:rPr>
              <w:t>学校与院系签订实验室安全管理责任书</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32</w:t>
            </w:r>
          </w:p>
        </w:tc>
        <w:tc>
          <w:tcPr>
            <w:tcW w:w="851" w:type="dxa"/>
            <w:shd w:val="clear" w:color="auto" w:fill="auto"/>
            <w:tcMar>
              <w:left w:w="45" w:type="dxa"/>
              <w:right w:w="45" w:type="dxa"/>
            </w:tcMar>
            <w:vAlign w:val="center"/>
          </w:tcPr>
          <w:p w:rsidR="00F9121A" w:rsidRDefault="00F9121A" w:rsidP="000C6BD8">
            <w:pPr>
              <w:spacing w:line="320" w:lineRule="exact"/>
              <w:rPr>
                <w:rFonts w:asciiTheme="minorEastAsia" w:hAnsiTheme="minorEastAsia"/>
                <w:sz w:val="24"/>
                <w:szCs w:val="24"/>
              </w:rPr>
            </w:pPr>
            <w:r>
              <w:rPr>
                <w:rFonts w:ascii="Times New Roman" w:hAnsi="Times New Roman"/>
                <w:color w:val="000000"/>
                <w:sz w:val="24"/>
                <w:szCs w:val="24"/>
              </w:rPr>
              <w:t>1.3</w:t>
            </w:r>
            <w:r>
              <w:rPr>
                <w:rFonts w:ascii="Times New Roman" w:hAnsi="Times New Roman"/>
                <w:color w:val="00B0F0"/>
                <w:sz w:val="24"/>
                <w:szCs w:val="24"/>
              </w:rPr>
              <w:t>.</w:t>
            </w:r>
            <w:r>
              <w:rPr>
                <w:rFonts w:ascii="Times New Roman" w:hAnsi="Times New Roman"/>
                <w:color w:val="000000"/>
                <w:sz w:val="24"/>
                <w:szCs w:val="24"/>
              </w:rPr>
              <w:t>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经费保障</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学校每年有实验室安全常规经费预算</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33</w:t>
            </w:r>
          </w:p>
        </w:tc>
        <w:tc>
          <w:tcPr>
            <w:tcW w:w="851" w:type="dxa"/>
            <w:shd w:val="clear" w:color="auto" w:fill="auto"/>
            <w:tcMar>
              <w:left w:w="45" w:type="dxa"/>
              <w:right w:w="45" w:type="dxa"/>
            </w:tcMar>
            <w:vAlign w:val="center"/>
          </w:tcPr>
          <w:p w:rsidR="00F9121A" w:rsidRDefault="00F9121A" w:rsidP="000C6BD8">
            <w:pPr>
              <w:spacing w:line="320" w:lineRule="exact"/>
              <w:rPr>
                <w:rFonts w:asciiTheme="minorEastAsia" w:hAnsiTheme="minorEastAsia"/>
                <w:sz w:val="24"/>
                <w:szCs w:val="24"/>
              </w:rPr>
            </w:pPr>
            <w:r>
              <w:rPr>
                <w:rFonts w:ascii="Times New Roman" w:hAnsi="Times New Roman"/>
                <w:color w:val="000000"/>
                <w:sz w:val="24"/>
                <w:szCs w:val="24"/>
              </w:rPr>
              <w:t>1.4.2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其它</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管理部门建立了完整的实验室安全工作档案，包括责任体系、队伍建设、安全制度、奖惩、教育培训、安全检查、隐患整改、事故调查与处理、专业安全、其它相关的常规或阶段性工作归档资料等</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34</w:t>
            </w:r>
          </w:p>
        </w:tc>
        <w:tc>
          <w:tcPr>
            <w:tcW w:w="851" w:type="dxa"/>
            <w:shd w:val="clear" w:color="auto" w:fill="auto"/>
            <w:tcMar>
              <w:left w:w="45" w:type="dxa"/>
              <w:right w:w="45" w:type="dxa"/>
            </w:tcMar>
            <w:vAlign w:val="center"/>
          </w:tcPr>
          <w:p w:rsidR="00F9121A" w:rsidRDefault="00F9121A" w:rsidP="000C6BD8">
            <w:pPr>
              <w:spacing w:line="320" w:lineRule="exact"/>
              <w:rPr>
                <w:rFonts w:asciiTheme="minorEastAsia" w:hAnsiTheme="minorEastAsia"/>
                <w:sz w:val="24"/>
                <w:szCs w:val="24"/>
              </w:rPr>
            </w:pPr>
            <w:r>
              <w:rPr>
                <w:rFonts w:ascii="Times New Roman" w:hAnsi="Times New Roman"/>
                <w:color w:val="000000"/>
                <w:sz w:val="24"/>
                <w:szCs w:val="24"/>
              </w:rPr>
              <w:t>2.1.2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szCs w:val="21"/>
              </w:rPr>
              <w:t>校级层面实验室安全管理制度</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有实验室安全奖励与责任追究制度</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35</w:t>
            </w:r>
          </w:p>
        </w:tc>
        <w:tc>
          <w:tcPr>
            <w:tcW w:w="851" w:type="dxa"/>
            <w:shd w:val="clear" w:color="auto" w:fill="auto"/>
            <w:tcMar>
              <w:left w:w="45" w:type="dxa"/>
              <w:right w:w="45" w:type="dxa"/>
            </w:tcMar>
            <w:vAlign w:val="center"/>
          </w:tcPr>
          <w:p w:rsidR="00F9121A" w:rsidRDefault="00F9121A" w:rsidP="000C6BD8">
            <w:pPr>
              <w:spacing w:line="320" w:lineRule="exact"/>
              <w:rPr>
                <w:rFonts w:asciiTheme="minorEastAsia" w:hAnsiTheme="minorEastAsia"/>
                <w:sz w:val="24"/>
                <w:szCs w:val="24"/>
              </w:rPr>
            </w:pPr>
            <w:r>
              <w:rPr>
                <w:rFonts w:ascii="Times New Roman" w:hAnsi="Times New Roman"/>
                <w:color w:val="000000"/>
                <w:sz w:val="24"/>
                <w:szCs w:val="24"/>
              </w:rPr>
              <w:t>2.2.3</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院系层面的安全管理制度</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涉及安全隐患的设备（如大型仪器、高温、高速、高压、强磁、低温等设备）有安全操作规程，并明示</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36</w:t>
            </w:r>
          </w:p>
        </w:tc>
        <w:tc>
          <w:tcPr>
            <w:tcW w:w="851" w:type="dxa"/>
            <w:shd w:val="clear" w:color="auto" w:fill="auto"/>
            <w:tcMar>
              <w:left w:w="45" w:type="dxa"/>
              <w:right w:w="45" w:type="dxa"/>
            </w:tcMar>
            <w:vAlign w:val="center"/>
          </w:tcPr>
          <w:p w:rsidR="00F9121A" w:rsidRDefault="00F9121A" w:rsidP="000C6BD8">
            <w:pPr>
              <w:spacing w:line="320" w:lineRule="exact"/>
              <w:rPr>
                <w:rFonts w:asciiTheme="minorEastAsia" w:hAnsiTheme="minorEastAsia"/>
                <w:sz w:val="24"/>
                <w:szCs w:val="24"/>
              </w:rPr>
            </w:pPr>
            <w:r>
              <w:rPr>
                <w:rFonts w:ascii="Times New Roman" w:hAnsi="Times New Roman"/>
                <w:color w:val="000000"/>
                <w:sz w:val="24"/>
                <w:szCs w:val="24"/>
              </w:rPr>
              <w:t>2.2.4</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院系层面的安全管理制度</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危险性实验、工艺有实验指导书或操作规程（含安全注意事项），并明示</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37</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2.2.5</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院系层面的安全管理制度</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建立了危险性实验风险评估与准入机制</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lastRenderedPageBreak/>
              <w:t>38</w:t>
            </w:r>
          </w:p>
        </w:tc>
        <w:tc>
          <w:tcPr>
            <w:tcW w:w="851" w:type="dxa"/>
            <w:shd w:val="clear" w:color="auto" w:fill="auto"/>
            <w:tcMar>
              <w:left w:w="45" w:type="dxa"/>
              <w:right w:w="45" w:type="dxa"/>
            </w:tcMar>
            <w:vAlign w:val="center"/>
          </w:tcPr>
          <w:p w:rsidR="00F9121A" w:rsidRDefault="00F9121A" w:rsidP="000C6BD8">
            <w:pPr>
              <w:spacing w:line="320" w:lineRule="exact"/>
              <w:rPr>
                <w:rFonts w:asciiTheme="minorEastAsia" w:hAnsiTheme="minorEastAsia"/>
                <w:sz w:val="24"/>
                <w:szCs w:val="24"/>
              </w:rPr>
            </w:pPr>
            <w:r>
              <w:rPr>
                <w:rFonts w:ascii="Times New Roman" w:hAnsi="Times New Roman"/>
                <w:color w:val="000000"/>
                <w:sz w:val="24"/>
                <w:szCs w:val="24"/>
              </w:rPr>
              <w:t>3.1.2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安全教育活动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每年开展全校教工和学生安全教育培训活动，有记录</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39</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3.2.3</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实验室安全考试系统</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每年组织新教工、本科生和研究生新生学习与考试，通过者发放合格证</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rPr>
          <w:trHeight w:val="367"/>
        </w:trPr>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40</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3.3.2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安全文化</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编印实验室安全手册并发放到每一位师生，承诺书归档</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41</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4.3.1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隐患整改</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对于检查中发现的问题，有合适的方式通知被查实验室相关负责人及院系（如网上公示、整改通知书等），并规范存档</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42</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4.3.2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隐患整改</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院系落实问题隐患的整改，整改报告在规定时间内提交学校管理部门，并归档</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43</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4.4.1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安全报告</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学校有公示的安全检查通报（定期/不定期）</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44</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5.1.1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场所环境</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超过200平方米的实验楼层应具有至少两处紧急出口，75平方米以上实验室要有两扇门</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45</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5.1.2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场所环境</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每个房间门口挂有安全信息牌，信息包括安全责任人、涉及危险类别、防护措施和有效的应急联系电话等，并及时更新</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46</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5.1.4</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场所环境</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实验室消防通道通畅，公共场所、通道不堆放仪器、物品</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47</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5.1.7</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场所环境</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所有房间均须有应急备用钥匙，集中存放、专人管理，应急时方便取用</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48</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5.1.9</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场所环境</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实验室内不得随意搭建阁楼，操作区层高不低于2米</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49</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5.3.1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卫生与日常管理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有毒有害实验区与学习区明确分开，布局合理；实验区不准饮食</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50</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5.3.2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卫生与日常管理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实验室物品摆放有序，卫生状况良好；实验完毕物品归位</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51</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5.4.2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场所其它安全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危险性实验室配备了急救药箱，药箱不上锁、药品在保质期内</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52</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5.4.4</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场所其它安全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实验室内不存放或烧煮食物、饮食，无吸烟现象</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53</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hint="eastAsia"/>
                <w:color w:val="000000"/>
                <w:sz w:val="24"/>
                <w:szCs w:val="24"/>
              </w:rPr>
              <w:t>6.1.2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消防设施</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灭火器在有效期内（压力指针位置正常等），安全销（拉针）正常，瓶身无破损、腐蚀</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4</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hint="eastAsia"/>
                <w:color w:val="000000"/>
                <w:sz w:val="24"/>
                <w:szCs w:val="24"/>
              </w:rPr>
              <w:t>6.2.1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应急喷淋与洗眼装置</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存在可能受到化学和生物伤害的实验区域，需配置应急喷淋和洗眼装置，走廊有显著引导标识</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55</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hint="eastAsia"/>
                <w:color w:val="000000"/>
                <w:sz w:val="24"/>
                <w:szCs w:val="24"/>
              </w:rPr>
              <w:t>6.3.1.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通风系统</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有需要的实验场所配备符合要求的通风系统，管道风机需防腐，使用可燃气体场所应采用防爆风机</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56</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hint="eastAsia"/>
                <w:color w:val="000000"/>
                <w:sz w:val="24"/>
                <w:szCs w:val="24"/>
              </w:rPr>
              <w:t>6.3.3</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通风系统</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根据需要在通风橱管路上安装有毒有害气体的吸附或处理装置（如活性炭、光催化分解、水喷淋等）</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57</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hint="eastAsia"/>
                <w:color w:val="000000"/>
                <w:sz w:val="24"/>
                <w:szCs w:val="24"/>
              </w:rPr>
              <w:t>6.5.1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实验室防爆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防爆实验室需符合防爆设计要求，安装防爆开关、防爆灯等，安装必要的气体报警系统、监控系统及断电断水应急系统等</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58</w:t>
            </w:r>
          </w:p>
        </w:tc>
        <w:tc>
          <w:tcPr>
            <w:tcW w:w="851" w:type="dxa"/>
            <w:shd w:val="clear" w:color="auto" w:fill="auto"/>
            <w:tcMar>
              <w:left w:w="45" w:type="dxa"/>
              <w:right w:w="45" w:type="dxa"/>
            </w:tcMar>
            <w:vAlign w:val="center"/>
          </w:tcPr>
          <w:p w:rsidR="00F9121A" w:rsidRDefault="00F9121A" w:rsidP="000C6BD8">
            <w:pPr>
              <w:spacing w:line="320" w:lineRule="exact"/>
              <w:rPr>
                <w:rFonts w:asciiTheme="minorEastAsia" w:hAnsiTheme="minorEastAsia"/>
                <w:sz w:val="24"/>
                <w:szCs w:val="24"/>
              </w:rPr>
            </w:pPr>
            <w:r>
              <w:rPr>
                <w:rFonts w:ascii="Times New Roman" w:hAnsi="Times New Roman"/>
                <w:color w:val="000000"/>
                <w:sz w:val="24"/>
                <w:szCs w:val="24"/>
              </w:rPr>
              <w:t>7.1.1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用电基础安全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实验室电容量、插头插座与用电设备功率需匹配，不得私自改装；电源插座须固定</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59</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7.1.4</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用电基础安全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禁止多个接线板串接供电，接线板不宜直接置于地面</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60</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7.1.11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用电基础安全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插座、插头、接线板为国家质量认证的合格产品，无烧焦变形、破损现象</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1</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7.2.2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用水安全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各类连接管无老化破损（特别是冷却冷凝系统的橡胶管接口处）</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62</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7.3.2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个人防护</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按需要佩戴防护眼镜（如进行化学实验、有危险的机械操作等）</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63</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7.3.4</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个人防护</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特殊场所按需佩戴安全帽、防护帽，长发不散露在外。操作机床等旋转设备时，不穿戴长围巾、丝巾、领带等</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64</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7.3.5</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个人防护</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按需要佩戴防护手套（涉及不同的有害化学物质、病原微生物、</w:t>
            </w:r>
            <w:r>
              <w:rPr>
                <w:rFonts w:ascii="宋体" w:hAnsi="宋体" w:cs="宋体" w:hint="eastAsia"/>
                <w:color w:val="000000"/>
                <w:szCs w:val="21"/>
              </w:rPr>
              <w:lastRenderedPageBreak/>
              <w:t>高温和低温等），并正确选择不同种类和材质的手套</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lastRenderedPageBreak/>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lastRenderedPageBreak/>
              <w:t>65</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7.3.6</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个人防护</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在特殊的实验室配备和使用呼吸器或面罩（如有挥发性毒物、溅射危险等），并正确选择种类；呼吸器或面罩在有效期内，不用时须密封放置</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66</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7.4.1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其它</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危险性实验（如高温、高压、高速运转等）时必须有两人在场</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67</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7.4.2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其它</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实验时不能脱岗，通宵实验须两人在场并有事先审批制度</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68</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7.4.4</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其它</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实验结束后物品归位，保持桌面整洁</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69</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8.1.1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危险化学品采购、验收、发放</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一般危险化学品要向具有危化品生产经营许可资质的单位购买</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70</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8.2.1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实验室化学试剂存放</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有实验室内化学品的动态使用台帐；建立本实验室危险化学品目录，并有危险化学品安全技术说明书（MSDS）或安全周知卡，方便查阅</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71</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8.2.4</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实验室化学试剂存放</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实验室内存放的危险化学品总量原则上不应超过100L或100kg，其中易燃易爆性化学品的存放总量不应超过50L 或50kg，且单一包装容器不应大于20L或20kg</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72</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8.2.6</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实验室化学试剂存放</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化学品包装物上应有符合规定的化学品标签；当化学品由原包装物转移或分装到其他包装物内时，转移或分装后的包装物应及时重新粘贴标识。化学品标签脱落、模糊、腐蚀后应及时补上，如不能确认，则以废弃化学品处置</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73</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8.3.2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实验操作安全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制定危险实验、危险化工工艺指导书，上墙或便于取阅；按照指导书进行实验</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74</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8.3.3</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实验操作安全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建立针对特殊危险实验的应急预案，方便取阅；实验人员熟悉所涉及的危险性及应急处理措施</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75</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8.5.2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其它管控化学品管理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易制爆品分类存放、专人保管，做好领取、使用、处置记录</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76</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8.5.4</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其它管控化学品管理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麻醉品和精神类药品储存于专门的保险柜中，有规范的领取、使用、处置台账</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77</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8.6.7</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bCs/>
                <w:color w:val="000000"/>
                <w:szCs w:val="21"/>
              </w:rPr>
              <w:t>实验气体管理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氧气等助燃气体不混放可燃性气体与</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78</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8.6.8</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bCs/>
                <w:color w:val="000000"/>
                <w:szCs w:val="21"/>
              </w:rPr>
              <w:t>实验气体管理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气体管路连接正确、有标识，管路材质选择合适，无破损或老化现象，定期进行气体泄漏检查；存在多条气体管路的房间须张贴详细的管路图</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79</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8.6.10</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bCs/>
                <w:color w:val="000000"/>
                <w:szCs w:val="21"/>
              </w:rPr>
            </w:pPr>
            <w:r>
              <w:rPr>
                <w:rFonts w:ascii="宋体" w:hAnsi="宋体" w:cs="宋体" w:hint="eastAsia"/>
                <w:bCs/>
                <w:color w:val="000000"/>
                <w:szCs w:val="21"/>
              </w:rPr>
              <w:t>实验气体管理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无大量气体钢瓶堆放现象；每间实验室内存放的氧气和可燃气体不宜超过一瓶，其他气瓶的存放，应控制在最小需求量；气体钢瓶不得放在走廊、大厅等公共场所</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80</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8.7.2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bCs/>
                <w:color w:val="000000"/>
                <w:szCs w:val="21"/>
              </w:rPr>
            </w:pPr>
            <w:r>
              <w:rPr>
                <w:rFonts w:ascii="宋体" w:hAnsi="宋体" w:cs="宋体" w:hint="eastAsia"/>
                <w:color w:val="000000"/>
                <w:szCs w:val="21"/>
              </w:rPr>
              <w:t>化学废弃物管理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学校有统一的化学实验废弃物标签，包含废物类别、危险特性、主要成分、产生部门、送储人、日期等信息</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81</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8.8.1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bCs/>
                <w:color w:val="000000"/>
                <w:szCs w:val="21"/>
              </w:rPr>
            </w:pPr>
            <w:r>
              <w:rPr>
                <w:rFonts w:ascii="宋体" w:hAnsi="宋体" w:cs="宋体" w:hint="eastAsia"/>
                <w:color w:val="000000"/>
                <w:szCs w:val="21"/>
              </w:rPr>
              <w:t>危化品仓库与废弃物中转站</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学校有危险品仓库、化学实验废弃物中转站，须有通风、隔热、避光、防盗、防爆、防静电、泄露报警、应急喷淋、安全警示标识等管控措施，符合相关规定，专人管理</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82</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8.9.1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其它化学安全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学校有统一的试剂标签（用于配置试剂、合成品、样品等），信息包括名称、浓度、责任人、日期、储存条件等</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83</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8.9.4</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其它化学安全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无使用饮料瓶存放试剂、样品的现象。如确需存放，必须撕去</w:t>
            </w:r>
            <w:r>
              <w:rPr>
                <w:rFonts w:ascii="宋体" w:hAnsi="宋体" w:cs="宋体" w:hint="eastAsia"/>
                <w:color w:val="000000"/>
                <w:szCs w:val="21"/>
              </w:rPr>
              <w:lastRenderedPageBreak/>
              <w:t>原包装纸，贴上统一的试剂标签</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lastRenderedPageBreak/>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lastRenderedPageBreak/>
              <w:t>84</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8.9.6</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其它化学安全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用于浸泡玻璃器皿的酸缸、碱缸等有盖子盖上、标签明确</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85</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9.2.3</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场所与设施</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储存病原微生物的场所或储柜配备防盗设施，并安装监控报警装置</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86</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9.3.3</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szCs w:val="21"/>
              </w:rPr>
              <w:t>病原微生物采购与保管</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高致病性病原微生物的转移和运输需按规定报卫生和农业主管部门批准，并按相应的运输包装要求包装后转移和运输</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87</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9.3.4</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szCs w:val="21"/>
              </w:rPr>
              <w:t>病原微生物采购与保管</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病原微生物菌（毒）种保存在带锁冰箱或柜子中，高致病性病原微生物实行双人双锁管理</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88</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Cs w:val="21"/>
              </w:rPr>
              <w:t>9.3.5</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szCs w:val="21"/>
              </w:rPr>
              <w:t>病原微生物采购与保管</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有病原微生物菌（毒）种保存、实验使用、销毁的记录</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89</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9.4.1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人员管理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开展病原微生物相关实验和研究的人员经过专业培训，考核合格，并取得证书</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90</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9.5.2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操作管理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BSL-2 /ABSL-2及以上等级实验室，开展病原微生物的相关实验活动应有风险评估和应急预案，包括病原微生物及感染材料溢出和意外事故的书面操作程序</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91</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9.6.1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实验动物安全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饲养实验动物的场所应有资质证书</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92</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9.6.2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szCs w:val="21"/>
              </w:rPr>
            </w:pPr>
            <w:r>
              <w:rPr>
                <w:rFonts w:ascii="宋体" w:hAnsi="宋体" w:cs="宋体" w:hint="eastAsia"/>
                <w:color w:val="000000"/>
                <w:szCs w:val="21"/>
              </w:rPr>
              <w:t>实验动物安全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实验动物需从具有资质的单位购买，有合格证明</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93</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9.7.1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生物实验废物处置</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学校与有资质的单位签约处置生化废弃物，有交接记录</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94</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9.7.4</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生物实验废物处置</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配备了生化实验废弃物垃圾桶（一般内置黄色塑料袋），有标签；刀片、移液枪头等尖锐物应使用耐扎的利器盒/纸板箱盛放，送储时再装入黄色塑料袋，贴好标签。</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95</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10.1.5</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实验室资质与人员要求</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涉源人员进入实验场所须佩带个人剂量计；委托有资质单位按时进行剂量检测（3个月一次），有合格的个人剂量检测报告。剂量计平时不能放在实验室场所</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96</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10.2.4</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场所与设施</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涉源实验场所每年有合格的实验场所检测报告</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97</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10.5.1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放射性实验废弃物的处置</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报废含有放射源或可产生放射性的设备，需报学校管理部门同意，并按国家规定进行退役处置；X光管报废时应敲碎，拍照留存</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98</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11.1.8</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仪器设备常规管理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对于高温、高压、高速运动、电磁辐射等特殊设备，对使用者有培训要求，有安全警示标识和安全警示线（黄色），并配备相应安全防护设施</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99</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11.2.1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机械安全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高速切削机械操作，工作前穿好工作服，戴好防护眼镜，衣袖口应扣紧，长发学生戴好工作帽。工作场所禁戴手套、长围巾、领带、手镯等配饰物，禁穿拖鞋、高跟鞋等</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hint="eastAsia"/>
                <w:sz w:val="24"/>
                <w:szCs w:val="24"/>
              </w:rPr>
              <w:t>100</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11.3.6</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电气安全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高压、大电流等强电实验室要设定安全距离，按规定设置安全警示牌、安全信号灯、联动式警铃、门锁，有安全隔离装置或屏蔽遮栏（由金属制成，并可靠接地，高度不低于2米）；控制室（控制台）应铺橡胶、绝缘垫等</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sz w:val="24"/>
                <w:szCs w:val="24"/>
              </w:rPr>
              <w:t>101</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11.3.10</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电气安全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断电操作时，在电源箱处有明显警示标识，以防他人随意合闸</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sz w:val="24"/>
                <w:szCs w:val="24"/>
              </w:rPr>
              <w:t>102</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11.5.2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粉尘安全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大量粉状物质的储存与使用场所，选用防爆型的电气设备、防爆灯、防爆电气开关，导线敷设应选用镀锌管气或水煤管，必须达到整体防爆要求。</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sz w:val="24"/>
                <w:szCs w:val="24"/>
              </w:rPr>
              <w:lastRenderedPageBreak/>
              <w:t>103</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12.1.2</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起重类设备</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操作人员须取得《特种设备作业人员证》，持证上岗，并每4年复审一次</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sz w:val="24"/>
                <w:szCs w:val="24"/>
              </w:rPr>
              <w:t>104</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12.2.1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压力容器</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压力大于0.1MPa且容积大于30L的压力容器，须取得《特种设备使用登记证》和《压力容器登记卡》</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sz w:val="24"/>
                <w:szCs w:val="24"/>
              </w:rPr>
              <w:t>105</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12.4.1</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冰箱管理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贮存危险化学品的冰箱为防爆冰箱或经过防爆改造的冰箱，禁止使用无霜型冰箱储存易燃易爆试剂</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heme="minorEastAsia" w:hAnsiTheme="minorEastAsia"/>
                <w:sz w:val="24"/>
                <w:szCs w:val="24"/>
              </w:rPr>
              <w:t>106</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12.5.3</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烘箱与电阻炉管理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不使用有故障、破损的烘箱、电阻炉；烘箱放置位置、高度合适，方便操作</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heme="minorEastAsia" w:hAnsiTheme="minorEastAsia"/>
                <w:sz w:val="24"/>
                <w:szCs w:val="24"/>
              </w:rPr>
            </w:pPr>
            <w:r>
              <w:rPr>
                <w:rFonts w:ascii="Times New Roman" w:hAnsi="Times New Roman"/>
                <w:color w:val="000000"/>
                <w:sz w:val="24"/>
                <w:szCs w:val="24"/>
              </w:rPr>
              <w:t>107</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12.5.6</w:t>
            </w:r>
          </w:p>
        </w:tc>
        <w:tc>
          <w:tcPr>
            <w:tcW w:w="1843"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烘箱与电阻炉管理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使用烘箱、电阻炉等加热设备时有人值守（或10-15分钟检查一次），或有实时监控设施；使用中的烘箱、电阻炉要标识使用人姓名</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r w:rsidR="00F9121A" w:rsidTr="000C6BD8">
        <w:tc>
          <w:tcPr>
            <w:tcW w:w="562" w:type="dxa"/>
            <w:shd w:val="clear" w:color="auto" w:fill="auto"/>
            <w:tcMar>
              <w:left w:w="45" w:type="dxa"/>
              <w:right w:w="45" w:type="dxa"/>
            </w:tcMar>
            <w:vAlign w:val="center"/>
          </w:tcPr>
          <w:p w:rsidR="00F9121A" w:rsidRDefault="00F9121A" w:rsidP="000C6BD8">
            <w:pPr>
              <w:spacing w:line="320" w:lineRule="exact"/>
              <w:jc w:val="center"/>
              <w:rPr>
                <w:rFonts w:ascii="Times New Roman" w:hAnsi="Times New Roman"/>
                <w:color w:val="000000"/>
                <w:sz w:val="24"/>
                <w:szCs w:val="24"/>
              </w:rPr>
            </w:pPr>
            <w:r>
              <w:rPr>
                <w:rFonts w:ascii="Times New Roman" w:hAnsi="Times New Roman"/>
                <w:color w:val="000000"/>
                <w:sz w:val="24"/>
                <w:szCs w:val="24"/>
              </w:rPr>
              <w:t>108</w:t>
            </w:r>
          </w:p>
        </w:tc>
        <w:tc>
          <w:tcPr>
            <w:tcW w:w="851" w:type="dxa"/>
            <w:shd w:val="clear" w:color="auto" w:fill="auto"/>
            <w:tcMar>
              <w:left w:w="45" w:type="dxa"/>
              <w:right w:w="45" w:type="dxa"/>
            </w:tcMar>
            <w:vAlign w:val="center"/>
          </w:tcPr>
          <w:p w:rsidR="00F9121A" w:rsidRDefault="00F9121A" w:rsidP="000C6BD8">
            <w:pPr>
              <w:spacing w:line="320" w:lineRule="exact"/>
              <w:rPr>
                <w:rFonts w:ascii="Times New Roman" w:hAnsi="Times New Roman"/>
                <w:color w:val="000000"/>
                <w:sz w:val="24"/>
                <w:szCs w:val="24"/>
              </w:rPr>
            </w:pPr>
            <w:r>
              <w:rPr>
                <w:rFonts w:ascii="Times New Roman" w:hAnsi="Times New Roman"/>
                <w:color w:val="000000"/>
                <w:sz w:val="24"/>
                <w:szCs w:val="24"/>
              </w:rPr>
              <w:t>12.6.3</w:t>
            </w:r>
          </w:p>
        </w:tc>
        <w:tc>
          <w:tcPr>
            <w:tcW w:w="1843" w:type="dxa"/>
            <w:shd w:val="clear" w:color="auto" w:fill="auto"/>
            <w:tcMar>
              <w:left w:w="45" w:type="dxa"/>
              <w:right w:w="45" w:type="dxa"/>
            </w:tcMar>
            <w:vAlign w:val="center"/>
          </w:tcPr>
          <w:p w:rsidR="00F9121A" w:rsidRDefault="00F9121A" w:rsidP="000C6BD8">
            <w:pPr>
              <w:widowControl/>
              <w:rPr>
                <w:rFonts w:ascii="宋体" w:hAnsi="宋体" w:cs="宋体"/>
                <w:color w:val="000000"/>
                <w:szCs w:val="21"/>
              </w:rPr>
            </w:pPr>
            <w:r>
              <w:rPr>
                <w:rFonts w:ascii="宋体" w:hAnsi="宋体" w:cs="宋体" w:hint="eastAsia"/>
                <w:color w:val="000000"/>
                <w:szCs w:val="21"/>
              </w:rPr>
              <w:t>明火电炉与电吹风等管理</w:t>
            </w:r>
          </w:p>
        </w:tc>
        <w:tc>
          <w:tcPr>
            <w:tcW w:w="5528" w:type="dxa"/>
            <w:shd w:val="clear" w:color="auto" w:fill="auto"/>
            <w:tcMar>
              <w:left w:w="45" w:type="dxa"/>
              <w:right w:w="45" w:type="dxa"/>
            </w:tcMar>
            <w:vAlign w:val="center"/>
          </w:tcPr>
          <w:p w:rsidR="00F9121A" w:rsidRDefault="00F9121A" w:rsidP="000C6BD8">
            <w:pPr>
              <w:spacing w:line="320" w:lineRule="exact"/>
              <w:rPr>
                <w:rFonts w:ascii="宋体" w:hAnsi="宋体" w:cs="宋体"/>
                <w:color w:val="000000"/>
                <w:szCs w:val="21"/>
              </w:rPr>
            </w:pPr>
            <w:r>
              <w:rPr>
                <w:rFonts w:ascii="宋体" w:hAnsi="宋体" w:cs="宋体" w:hint="eastAsia"/>
                <w:color w:val="000000"/>
                <w:szCs w:val="21"/>
              </w:rPr>
              <w:t>不使用明火电炉加热易燃易爆试剂</w:t>
            </w:r>
          </w:p>
        </w:tc>
        <w:tc>
          <w:tcPr>
            <w:tcW w:w="709" w:type="dxa"/>
            <w:shd w:val="clear" w:color="auto" w:fill="auto"/>
            <w:tcMar>
              <w:left w:w="45" w:type="dxa"/>
              <w:right w:w="45" w:type="dxa"/>
            </w:tcMar>
            <w:vAlign w:val="center"/>
          </w:tcPr>
          <w:p w:rsidR="00F9121A" w:rsidRDefault="00F9121A" w:rsidP="000C6BD8">
            <w:pPr>
              <w:spacing w:line="320" w:lineRule="exact"/>
              <w:jc w:val="center"/>
              <w:rPr>
                <w:sz w:val="24"/>
                <w:szCs w:val="24"/>
              </w:rPr>
            </w:pPr>
            <w:r>
              <w:rPr>
                <w:rFonts w:hint="eastAsia"/>
                <w:sz w:val="24"/>
                <w:szCs w:val="24"/>
              </w:rPr>
              <w:t>*</w:t>
            </w:r>
          </w:p>
        </w:tc>
      </w:tr>
    </w:tbl>
    <w:p w:rsidR="00F9121A" w:rsidRDefault="00F9121A" w:rsidP="00F9121A">
      <w:pPr>
        <w:spacing w:beforeLines="50" w:before="156" w:line="500" w:lineRule="exact"/>
        <w:rPr>
          <w:rFonts w:ascii="Times New Roman" w:hAnsi="Times New Roman" w:cs="Times New Roman"/>
          <w:color w:val="000000"/>
          <w:sz w:val="24"/>
          <w:szCs w:val="24"/>
        </w:rPr>
      </w:pPr>
    </w:p>
    <w:p w:rsidR="00F9121A" w:rsidRDefault="00F9121A" w:rsidP="00F9121A">
      <w:pPr>
        <w:spacing w:beforeLines="50" w:before="156" w:line="500" w:lineRule="exact"/>
        <w:jc w:val="left"/>
        <w:rPr>
          <w:rFonts w:ascii="仿宋" w:eastAsia="仿宋" w:hAnsi="仿宋"/>
          <w:b/>
          <w:sz w:val="28"/>
          <w:szCs w:val="24"/>
        </w:rPr>
      </w:pPr>
      <w:r>
        <w:rPr>
          <w:rFonts w:ascii="仿宋" w:eastAsia="仿宋" w:hAnsi="仿宋" w:hint="eastAsia"/>
          <w:b/>
          <w:sz w:val="28"/>
          <w:szCs w:val="24"/>
        </w:rPr>
        <w:t xml:space="preserve">表2. </w:t>
      </w:r>
    </w:p>
    <w:p w:rsidR="00F9121A" w:rsidRDefault="00F9121A" w:rsidP="00F9121A">
      <w:pPr>
        <w:spacing w:beforeLines="50" w:before="156" w:line="500" w:lineRule="exact"/>
        <w:jc w:val="center"/>
        <w:rPr>
          <w:rFonts w:ascii="仿宋" w:eastAsia="仿宋" w:hAnsi="仿宋"/>
          <w:b/>
          <w:sz w:val="28"/>
          <w:szCs w:val="24"/>
        </w:rPr>
      </w:pPr>
      <w:r>
        <w:rPr>
          <w:rFonts w:ascii="仿宋" w:eastAsia="仿宋" w:hAnsi="仿宋" w:hint="eastAsia"/>
          <w:b/>
          <w:sz w:val="28"/>
          <w:szCs w:val="24"/>
        </w:rPr>
        <w:t>发现安全</w:t>
      </w:r>
      <w:r>
        <w:rPr>
          <w:rFonts w:ascii="仿宋" w:eastAsia="仿宋" w:hAnsi="仿宋"/>
          <w:b/>
          <w:sz w:val="28"/>
          <w:szCs w:val="24"/>
        </w:rPr>
        <w:t>隐患指标</w:t>
      </w:r>
      <w:r>
        <w:rPr>
          <w:rFonts w:ascii="仿宋" w:eastAsia="仿宋" w:hAnsi="仿宋" w:hint="eastAsia"/>
          <w:b/>
          <w:sz w:val="28"/>
          <w:szCs w:val="24"/>
        </w:rPr>
        <w:t>条款与</w:t>
      </w:r>
      <w:r>
        <w:rPr>
          <w:rFonts w:ascii="仿宋" w:eastAsia="仿宋" w:hAnsi="仿宋"/>
          <w:b/>
          <w:sz w:val="28"/>
          <w:szCs w:val="24"/>
        </w:rPr>
        <w:t>检查结</w:t>
      </w:r>
      <w:r>
        <w:rPr>
          <w:rFonts w:ascii="仿宋" w:eastAsia="仿宋" w:hAnsi="仿宋" w:hint="eastAsia"/>
          <w:b/>
          <w:sz w:val="28"/>
          <w:szCs w:val="24"/>
        </w:rPr>
        <w:t>果</w:t>
      </w:r>
      <w:r>
        <w:rPr>
          <w:rFonts w:ascii="仿宋" w:eastAsia="仿宋" w:hAnsi="仿宋"/>
          <w:b/>
          <w:sz w:val="28"/>
          <w:szCs w:val="24"/>
        </w:rPr>
        <w:t>的关系</w:t>
      </w:r>
    </w:p>
    <w:tbl>
      <w:tblPr>
        <w:tblStyle w:val="a7"/>
        <w:tblW w:w="8500" w:type="dxa"/>
        <w:jc w:val="center"/>
        <w:tblLayout w:type="fixed"/>
        <w:tblLook w:val="04A0" w:firstRow="1" w:lastRow="0" w:firstColumn="1" w:lastColumn="0" w:noHBand="0" w:noVBand="1"/>
      </w:tblPr>
      <w:tblGrid>
        <w:gridCol w:w="658"/>
        <w:gridCol w:w="1724"/>
        <w:gridCol w:w="1631"/>
        <w:gridCol w:w="1695"/>
        <w:gridCol w:w="1375"/>
        <w:gridCol w:w="1417"/>
      </w:tblGrid>
      <w:tr w:rsidR="00F9121A" w:rsidTr="000C6BD8">
        <w:trPr>
          <w:trHeight w:val="535"/>
          <w:jc w:val="center"/>
        </w:trPr>
        <w:tc>
          <w:tcPr>
            <w:tcW w:w="658" w:type="dxa"/>
            <w:vAlign w:val="center"/>
          </w:tcPr>
          <w:p w:rsidR="00F9121A" w:rsidRDefault="00F9121A" w:rsidP="000C6BD8">
            <w:pPr>
              <w:jc w:val="center"/>
              <w:rPr>
                <w:rFonts w:asciiTheme="minorEastAsia" w:hAnsiTheme="minorEastAsia"/>
                <w:b/>
                <w:sz w:val="24"/>
              </w:rPr>
            </w:pPr>
            <w:r>
              <w:rPr>
                <w:rFonts w:asciiTheme="minorEastAsia" w:hAnsiTheme="minorEastAsia" w:hint="eastAsia"/>
                <w:b/>
                <w:sz w:val="24"/>
              </w:rPr>
              <w:t>序号</w:t>
            </w:r>
          </w:p>
        </w:tc>
        <w:tc>
          <w:tcPr>
            <w:tcW w:w="1724" w:type="dxa"/>
            <w:vAlign w:val="center"/>
          </w:tcPr>
          <w:p w:rsidR="00F9121A" w:rsidRDefault="00F9121A" w:rsidP="000C6BD8">
            <w:pPr>
              <w:jc w:val="center"/>
              <w:rPr>
                <w:rFonts w:asciiTheme="minorEastAsia" w:hAnsiTheme="minorEastAsia"/>
                <w:b/>
                <w:sz w:val="24"/>
              </w:rPr>
            </w:pPr>
            <w:r>
              <w:rPr>
                <w:rFonts w:asciiTheme="minorEastAsia" w:hAnsiTheme="minorEastAsia"/>
                <w:b/>
                <w:sz w:val="24"/>
              </w:rPr>
              <w:t>条款</w:t>
            </w:r>
            <w:r>
              <w:rPr>
                <w:rFonts w:asciiTheme="minorEastAsia" w:hAnsiTheme="minorEastAsia" w:hint="eastAsia"/>
                <w:b/>
                <w:sz w:val="24"/>
              </w:rPr>
              <w:t>类别</w:t>
            </w:r>
          </w:p>
        </w:tc>
        <w:tc>
          <w:tcPr>
            <w:tcW w:w="6118" w:type="dxa"/>
            <w:gridSpan w:val="4"/>
            <w:vAlign w:val="center"/>
          </w:tcPr>
          <w:p w:rsidR="00F9121A" w:rsidRDefault="00F9121A" w:rsidP="000C6BD8">
            <w:pPr>
              <w:jc w:val="center"/>
              <w:rPr>
                <w:rFonts w:asciiTheme="minorEastAsia" w:hAnsiTheme="minorEastAsia"/>
                <w:b/>
                <w:sz w:val="24"/>
              </w:rPr>
            </w:pPr>
            <w:r>
              <w:rPr>
                <w:rFonts w:asciiTheme="minorEastAsia" w:hAnsiTheme="minorEastAsia" w:hint="eastAsia"/>
                <w:b/>
                <w:sz w:val="24"/>
              </w:rPr>
              <w:t>不符合</w:t>
            </w:r>
            <w:r>
              <w:rPr>
                <w:rFonts w:asciiTheme="minorEastAsia" w:hAnsiTheme="minorEastAsia"/>
                <w:b/>
                <w:sz w:val="24"/>
              </w:rPr>
              <w:t>条款数</w:t>
            </w:r>
          </w:p>
        </w:tc>
      </w:tr>
      <w:tr w:rsidR="00F9121A" w:rsidTr="000C6BD8">
        <w:trPr>
          <w:trHeight w:val="476"/>
          <w:jc w:val="center"/>
        </w:trPr>
        <w:tc>
          <w:tcPr>
            <w:tcW w:w="658"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1</w:t>
            </w:r>
          </w:p>
        </w:tc>
        <w:tc>
          <w:tcPr>
            <w:tcW w:w="1724"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三星***</w:t>
            </w:r>
          </w:p>
        </w:tc>
        <w:tc>
          <w:tcPr>
            <w:tcW w:w="1631"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0</w:t>
            </w:r>
          </w:p>
        </w:tc>
        <w:tc>
          <w:tcPr>
            <w:tcW w:w="1695"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0</w:t>
            </w:r>
          </w:p>
        </w:tc>
        <w:tc>
          <w:tcPr>
            <w:tcW w:w="1375"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0</w:t>
            </w:r>
          </w:p>
        </w:tc>
        <w:tc>
          <w:tcPr>
            <w:tcW w:w="1417"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1</w:t>
            </w:r>
          </w:p>
        </w:tc>
      </w:tr>
      <w:tr w:rsidR="00F9121A" w:rsidTr="000C6BD8">
        <w:trPr>
          <w:trHeight w:val="413"/>
          <w:jc w:val="center"/>
        </w:trPr>
        <w:tc>
          <w:tcPr>
            <w:tcW w:w="658"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2</w:t>
            </w:r>
          </w:p>
        </w:tc>
        <w:tc>
          <w:tcPr>
            <w:tcW w:w="1724"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二星**</w:t>
            </w:r>
          </w:p>
        </w:tc>
        <w:tc>
          <w:tcPr>
            <w:tcW w:w="1631"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0</w:t>
            </w:r>
          </w:p>
        </w:tc>
        <w:tc>
          <w:tcPr>
            <w:tcW w:w="1695" w:type="dxa"/>
            <w:vAlign w:val="center"/>
          </w:tcPr>
          <w:p w:rsidR="00F9121A" w:rsidRDefault="00F9121A" w:rsidP="000C6BD8">
            <w:pPr>
              <w:jc w:val="center"/>
              <w:rPr>
                <w:rFonts w:asciiTheme="minorEastAsia" w:hAnsiTheme="minorEastAsia"/>
                <w:sz w:val="24"/>
              </w:rPr>
            </w:pPr>
            <w:r>
              <w:rPr>
                <w:rFonts w:asciiTheme="minorEastAsia" w:hAnsiTheme="minorEastAsia"/>
                <w:sz w:val="24"/>
              </w:rPr>
              <w:t>1-</w:t>
            </w:r>
            <w:r>
              <w:rPr>
                <w:rFonts w:asciiTheme="minorEastAsia" w:hAnsiTheme="minorEastAsia" w:hint="eastAsia"/>
                <w:sz w:val="24"/>
              </w:rPr>
              <w:t>7</w:t>
            </w:r>
          </w:p>
        </w:tc>
        <w:tc>
          <w:tcPr>
            <w:tcW w:w="1375"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8</w:t>
            </w:r>
            <w:r>
              <w:rPr>
                <w:rFonts w:asciiTheme="minorEastAsia" w:hAnsiTheme="minorEastAsia"/>
                <w:sz w:val="24"/>
              </w:rPr>
              <w:t>-</w:t>
            </w:r>
            <w:r>
              <w:rPr>
                <w:rFonts w:asciiTheme="minorEastAsia" w:hAnsiTheme="minorEastAsia" w:hint="eastAsia"/>
                <w:sz w:val="24"/>
              </w:rPr>
              <w:t>14</w:t>
            </w:r>
          </w:p>
        </w:tc>
        <w:tc>
          <w:tcPr>
            <w:tcW w:w="1417"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≥15</w:t>
            </w:r>
          </w:p>
        </w:tc>
      </w:tr>
      <w:tr w:rsidR="00F9121A" w:rsidTr="000C6BD8">
        <w:trPr>
          <w:trHeight w:val="419"/>
          <w:jc w:val="center"/>
        </w:trPr>
        <w:tc>
          <w:tcPr>
            <w:tcW w:w="658"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3</w:t>
            </w:r>
          </w:p>
        </w:tc>
        <w:tc>
          <w:tcPr>
            <w:tcW w:w="1724"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一星*</w:t>
            </w:r>
          </w:p>
        </w:tc>
        <w:tc>
          <w:tcPr>
            <w:tcW w:w="1631"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2</w:t>
            </w:r>
          </w:p>
        </w:tc>
        <w:tc>
          <w:tcPr>
            <w:tcW w:w="1695"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3</w:t>
            </w:r>
            <w:r>
              <w:rPr>
                <w:rFonts w:asciiTheme="minorEastAsia" w:hAnsiTheme="minorEastAsia"/>
                <w:sz w:val="24"/>
              </w:rPr>
              <w:t>-15</w:t>
            </w:r>
          </w:p>
        </w:tc>
        <w:tc>
          <w:tcPr>
            <w:tcW w:w="1375" w:type="dxa"/>
            <w:vAlign w:val="center"/>
          </w:tcPr>
          <w:p w:rsidR="00F9121A" w:rsidRDefault="00F9121A" w:rsidP="000C6BD8">
            <w:pPr>
              <w:jc w:val="center"/>
              <w:rPr>
                <w:rFonts w:asciiTheme="minorEastAsia" w:hAnsiTheme="minorEastAsia"/>
                <w:sz w:val="24"/>
              </w:rPr>
            </w:pPr>
            <w:r>
              <w:rPr>
                <w:rFonts w:asciiTheme="minorEastAsia" w:hAnsiTheme="minorEastAsia"/>
                <w:sz w:val="24"/>
              </w:rPr>
              <w:t>16-25</w:t>
            </w:r>
          </w:p>
        </w:tc>
        <w:tc>
          <w:tcPr>
            <w:tcW w:w="1417"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≥26</w:t>
            </w:r>
          </w:p>
        </w:tc>
      </w:tr>
      <w:tr w:rsidR="00F9121A" w:rsidTr="000C6BD8">
        <w:trPr>
          <w:trHeight w:val="419"/>
          <w:jc w:val="center"/>
        </w:trPr>
        <w:tc>
          <w:tcPr>
            <w:tcW w:w="658"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4</w:t>
            </w:r>
          </w:p>
        </w:tc>
        <w:tc>
          <w:tcPr>
            <w:tcW w:w="1724"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所有条款数</w:t>
            </w:r>
          </w:p>
        </w:tc>
        <w:tc>
          <w:tcPr>
            <w:tcW w:w="1631"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8</w:t>
            </w:r>
          </w:p>
        </w:tc>
        <w:tc>
          <w:tcPr>
            <w:tcW w:w="1695"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9-</w:t>
            </w:r>
            <w:r>
              <w:rPr>
                <w:rFonts w:asciiTheme="minorEastAsia" w:hAnsiTheme="minorEastAsia"/>
                <w:sz w:val="24"/>
              </w:rPr>
              <w:t>30</w:t>
            </w:r>
          </w:p>
        </w:tc>
        <w:tc>
          <w:tcPr>
            <w:tcW w:w="1375" w:type="dxa"/>
            <w:vAlign w:val="center"/>
          </w:tcPr>
          <w:p w:rsidR="00F9121A" w:rsidRDefault="00F9121A" w:rsidP="000C6BD8">
            <w:pPr>
              <w:jc w:val="center"/>
              <w:rPr>
                <w:rFonts w:asciiTheme="minorEastAsia" w:hAnsiTheme="minorEastAsia"/>
                <w:sz w:val="24"/>
              </w:rPr>
            </w:pPr>
            <w:r>
              <w:rPr>
                <w:rFonts w:asciiTheme="minorEastAsia" w:hAnsiTheme="minorEastAsia"/>
                <w:sz w:val="24"/>
              </w:rPr>
              <w:t>31</w:t>
            </w:r>
            <w:r>
              <w:rPr>
                <w:rFonts w:asciiTheme="minorEastAsia" w:hAnsiTheme="minorEastAsia" w:hint="eastAsia"/>
                <w:sz w:val="24"/>
              </w:rPr>
              <w:t>-40</w:t>
            </w:r>
          </w:p>
        </w:tc>
        <w:tc>
          <w:tcPr>
            <w:tcW w:w="1417" w:type="dxa"/>
            <w:vAlign w:val="center"/>
          </w:tcPr>
          <w:p w:rsidR="00F9121A" w:rsidRDefault="00F9121A" w:rsidP="000C6BD8">
            <w:pPr>
              <w:jc w:val="center"/>
              <w:rPr>
                <w:rFonts w:asciiTheme="minorEastAsia" w:hAnsiTheme="minorEastAsia"/>
                <w:sz w:val="24"/>
              </w:rPr>
            </w:pPr>
            <w:r>
              <w:rPr>
                <w:rFonts w:asciiTheme="minorEastAsia" w:hAnsiTheme="minorEastAsia" w:hint="eastAsia"/>
                <w:sz w:val="24"/>
              </w:rPr>
              <w:t>≥41</w:t>
            </w:r>
          </w:p>
        </w:tc>
      </w:tr>
      <w:tr w:rsidR="00F9121A" w:rsidTr="000C6BD8">
        <w:trPr>
          <w:trHeight w:val="419"/>
          <w:jc w:val="center"/>
        </w:trPr>
        <w:tc>
          <w:tcPr>
            <w:tcW w:w="658" w:type="dxa"/>
            <w:vAlign w:val="center"/>
          </w:tcPr>
          <w:p w:rsidR="00F9121A" w:rsidRDefault="00F9121A" w:rsidP="000C6BD8">
            <w:pPr>
              <w:jc w:val="center"/>
              <w:rPr>
                <w:rFonts w:asciiTheme="minorEastAsia" w:hAnsiTheme="minorEastAsia"/>
                <w:b/>
                <w:sz w:val="24"/>
              </w:rPr>
            </w:pPr>
          </w:p>
        </w:tc>
        <w:tc>
          <w:tcPr>
            <w:tcW w:w="1724" w:type="dxa"/>
            <w:vAlign w:val="center"/>
          </w:tcPr>
          <w:p w:rsidR="00F9121A" w:rsidRDefault="00F9121A" w:rsidP="000C6BD8">
            <w:pPr>
              <w:jc w:val="center"/>
              <w:rPr>
                <w:rFonts w:asciiTheme="minorEastAsia" w:hAnsiTheme="minorEastAsia"/>
                <w:sz w:val="24"/>
              </w:rPr>
            </w:pPr>
            <w:r>
              <w:rPr>
                <w:rFonts w:asciiTheme="minorEastAsia" w:hAnsiTheme="minorEastAsia" w:hint="eastAsia"/>
                <w:b/>
                <w:sz w:val="24"/>
              </w:rPr>
              <w:t>检查结果</w:t>
            </w:r>
          </w:p>
        </w:tc>
        <w:tc>
          <w:tcPr>
            <w:tcW w:w="1631" w:type="dxa"/>
            <w:vAlign w:val="center"/>
          </w:tcPr>
          <w:p w:rsidR="00F9121A" w:rsidRDefault="00F9121A" w:rsidP="000C6BD8">
            <w:pPr>
              <w:jc w:val="center"/>
              <w:rPr>
                <w:rFonts w:asciiTheme="minorEastAsia" w:hAnsiTheme="minorEastAsia"/>
                <w:b/>
                <w:sz w:val="24"/>
              </w:rPr>
            </w:pPr>
            <w:r>
              <w:rPr>
                <w:rFonts w:asciiTheme="minorEastAsia" w:hAnsiTheme="minorEastAsia" w:hint="eastAsia"/>
                <w:b/>
                <w:sz w:val="24"/>
              </w:rPr>
              <w:t>A</w:t>
            </w:r>
          </w:p>
        </w:tc>
        <w:tc>
          <w:tcPr>
            <w:tcW w:w="1695" w:type="dxa"/>
            <w:vAlign w:val="center"/>
          </w:tcPr>
          <w:p w:rsidR="00F9121A" w:rsidRDefault="00F9121A" w:rsidP="000C6BD8">
            <w:pPr>
              <w:jc w:val="center"/>
              <w:rPr>
                <w:rFonts w:asciiTheme="minorEastAsia" w:hAnsiTheme="minorEastAsia"/>
                <w:b/>
                <w:sz w:val="24"/>
              </w:rPr>
            </w:pPr>
            <w:r>
              <w:rPr>
                <w:rFonts w:asciiTheme="minorEastAsia" w:hAnsiTheme="minorEastAsia" w:hint="eastAsia"/>
                <w:b/>
                <w:sz w:val="24"/>
              </w:rPr>
              <w:t>B</w:t>
            </w:r>
          </w:p>
        </w:tc>
        <w:tc>
          <w:tcPr>
            <w:tcW w:w="1375" w:type="dxa"/>
            <w:vAlign w:val="center"/>
          </w:tcPr>
          <w:p w:rsidR="00F9121A" w:rsidRDefault="00F9121A" w:rsidP="000C6BD8">
            <w:pPr>
              <w:jc w:val="center"/>
              <w:rPr>
                <w:rFonts w:asciiTheme="minorEastAsia" w:hAnsiTheme="minorEastAsia"/>
                <w:b/>
                <w:sz w:val="24"/>
              </w:rPr>
            </w:pPr>
            <w:r>
              <w:rPr>
                <w:rFonts w:asciiTheme="minorEastAsia" w:hAnsiTheme="minorEastAsia" w:hint="eastAsia"/>
                <w:b/>
                <w:sz w:val="24"/>
              </w:rPr>
              <w:t>C</w:t>
            </w:r>
          </w:p>
        </w:tc>
        <w:tc>
          <w:tcPr>
            <w:tcW w:w="1417" w:type="dxa"/>
            <w:vAlign w:val="center"/>
          </w:tcPr>
          <w:p w:rsidR="00F9121A" w:rsidRDefault="00F9121A" w:rsidP="000C6BD8">
            <w:pPr>
              <w:jc w:val="center"/>
              <w:rPr>
                <w:rFonts w:asciiTheme="minorEastAsia" w:hAnsiTheme="minorEastAsia"/>
                <w:b/>
                <w:sz w:val="24"/>
              </w:rPr>
            </w:pPr>
            <w:r>
              <w:rPr>
                <w:rFonts w:asciiTheme="minorEastAsia" w:hAnsiTheme="minorEastAsia" w:hint="eastAsia"/>
                <w:b/>
                <w:sz w:val="24"/>
              </w:rPr>
              <w:t>D</w:t>
            </w:r>
          </w:p>
        </w:tc>
      </w:tr>
    </w:tbl>
    <w:p w:rsidR="00F9121A" w:rsidRDefault="00F9121A" w:rsidP="00F9121A">
      <w:pPr>
        <w:spacing w:line="440" w:lineRule="exact"/>
        <w:ind w:firstLineChars="100" w:firstLine="240"/>
        <w:rPr>
          <w:rFonts w:ascii="仿宋" w:eastAsia="仿宋" w:hAnsi="仿宋"/>
          <w:sz w:val="24"/>
          <w:szCs w:val="24"/>
        </w:rPr>
      </w:pPr>
      <w:r>
        <w:rPr>
          <w:rFonts w:ascii="仿宋" w:eastAsia="仿宋" w:hAnsi="仿宋" w:hint="eastAsia"/>
          <w:sz w:val="24"/>
          <w:szCs w:val="24"/>
        </w:rPr>
        <w:t>注1.以上</w:t>
      </w:r>
      <w:r>
        <w:rPr>
          <w:rFonts w:ascii="仿宋" w:eastAsia="仿宋" w:hAnsi="仿宋"/>
          <w:sz w:val="24"/>
          <w:szCs w:val="24"/>
        </w:rPr>
        <w:t>判别</w:t>
      </w:r>
      <w:r>
        <w:rPr>
          <w:rFonts w:ascii="仿宋" w:eastAsia="仿宋" w:hAnsi="仿宋" w:hint="eastAsia"/>
          <w:sz w:val="24"/>
          <w:szCs w:val="24"/>
        </w:rPr>
        <w:t>条款数</w:t>
      </w:r>
      <w:r>
        <w:rPr>
          <w:rFonts w:ascii="仿宋" w:eastAsia="仿宋" w:hAnsi="仿宋"/>
          <w:sz w:val="24"/>
          <w:szCs w:val="24"/>
        </w:rPr>
        <w:t>，是并列的，只要符合</w:t>
      </w:r>
      <w:r>
        <w:rPr>
          <w:rFonts w:ascii="仿宋" w:eastAsia="仿宋" w:hAnsi="仿宋" w:hint="eastAsia"/>
          <w:sz w:val="24"/>
          <w:szCs w:val="24"/>
        </w:rPr>
        <w:t>1条</w:t>
      </w:r>
      <w:r>
        <w:rPr>
          <w:rFonts w:ascii="仿宋" w:eastAsia="仿宋" w:hAnsi="仿宋"/>
          <w:sz w:val="24"/>
          <w:szCs w:val="24"/>
        </w:rPr>
        <w:t>即可</w:t>
      </w:r>
      <w:r>
        <w:rPr>
          <w:rFonts w:ascii="仿宋" w:eastAsia="仿宋" w:hAnsi="仿宋" w:hint="eastAsia"/>
          <w:sz w:val="24"/>
          <w:szCs w:val="24"/>
        </w:rPr>
        <w:t>判</w:t>
      </w:r>
      <w:r>
        <w:rPr>
          <w:rFonts w:ascii="仿宋" w:eastAsia="仿宋" w:hAnsi="仿宋"/>
          <w:sz w:val="24"/>
          <w:szCs w:val="24"/>
        </w:rPr>
        <w:t>为相应的</w:t>
      </w:r>
      <w:r>
        <w:rPr>
          <w:rFonts w:ascii="仿宋" w:eastAsia="仿宋" w:hAnsi="仿宋" w:hint="eastAsia"/>
          <w:sz w:val="24"/>
          <w:szCs w:val="24"/>
        </w:rPr>
        <w:t>等级</w:t>
      </w:r>
      <w:r>
        <w:rPr>
          <w:rFonts w:ascii="仿宋" w:eastAsia="仿宋" w:hAnsi="仿宋"/>
          <w:sz w:val="24"/>
          <w:szCs w:val="24"/>
        </w:rPr>
        <w:t>。</w:t>
      </w:r>
    </w:p>
    <w:p w:rsidR="00F9121A" w:rsidRDefault="00F9121A" w:rsidP="00F9121A">
      <w:pPr>
        <w:spacing w:line="440" w:lineRule="exact"/>
        <w:ind w:firstLineChars="100" w:firstLine="240"/>
        <w:rPr>
          <w:rFonts w:ascii="仿宋" w:eastAsia="仿宋" w:hAnsi="仿宋"/>
          <w:sz w:val="24"/>
          <w:szCs w:val="24"/>
        </w:rPr>
      </w:pPr>
      <w:r>
        <w:rPr>
          <w:rFonts w:ascii="仿宋" w:eastAsia="仿宋" w:hAnsi="仿宋" w:hint="eastAsia"/>
          <w:sz w:val="24"/>
          <w:szCs w:val="24"/>
        </w:rPr>
        <w:t>注2.凡是</w:t>
      </w:r>
      <w:r>
        <w:rPr>
          <w:rFonts w:ascii="仿宋" w:eastAsia="仿宋" w:hAnsi="仿宋"/>
          <w:sz w:val="24"/>
          <w:szCs w:val="24"/>
        </w:rPr>
        <w:t>有不符合条款</w:t>
      </w:r>
      <w:r>
        <w:rPr>
          <w:rFonts w:ascii="仿宋" w:eastAsia="仿宋" w:hAnsi="仿宋" w:hint="eastAsia"/>
          <w:sz w:val="24"/>
          <w:szCs w:val="24"/>
        </w:rPr>
        <w:t>而</w:t>
      </w:r>
      <w:r>
        <w:rPr>
          <w:rFonts w:ascii="仿宋" w:eastAsia="仿宋" w:hAnsi="仿宋"/>
          <w:sz w:val="24"/>
          <w:szCs w:val="24"/>
        </w:rPr>
        <w:t>结果为</w:t>
      </w:r>
      <w:r>
        <w:rPr>
          <w:rFonts w:ascii="仿宋" w:eastAsia="仿宋" w:hAnsi="仿宋" w:hint="eastAsia"/>
          <w:sz w:val="24"/>
          <w:szCs w:val="24"/>
        </w:rPr>
        <w:t>A级（通过）者</w:t>
      </w:r>
      <w:r>
        <w:rPr>
          <w:rFonts w:ascii="仿宋" w:eastAsia="仿宋" w:hAnsi="仿宋"/>
          <w:sz w:val="24"/>
          <w:szCs w:val="24"/>
        </w:rPr>
        <w:t>，</w:t>
      </w:r>
      <w:r>
        <w:rPr>
          <w:rFonts w:ascii="仿宋" w:eastAsia="仿宋" w:hAnsi="仿宋" w:hint="eastAsia"/>
          <w:sz w:val="24"/>
          <w:szCs w:val="24"/>
        </w:rPr>
        <w:t>仍需按</w:t>
      </w:r>
      <w:r>
        <w:rPr>
          <w:rFonts w:ascii="仿宋" w:eastAsia="仿宋" w:hAnsi="仿宋"/>
          <w:sz w:val="24"/>
          <w:szCs w:val="24"/>
        </w:rPr>
        <w:t>规则上报《</w:t>
      </w:r>
      <w:r>
        <w:rPr>
          <w:rFonts w:ascii="仿宋" w:eastAsia="仿宋" w:hAnsi="仿宋" w:hint="eastAsia"/>
          <w:sz w:val="24"/>
          <w:szCs w:val="24"/>
        </w:rPr>
        <w:t>整改</w:t>
      </w:r>
      <w:r>
        <w:rPr>
          <w:rFonts w:ascii="仿宋" w:eastAsia="仿宋" w:hAnsi="仿宋"/>
          <w:sz w:val="24"/>
          <w:szCs w:val="24"/>
        </w:rPr>
        <w:t>报告》</w:t>
      </w:r>
      <w:r>
        <w:rPr>
          <w:rFonts w:ascii="仿宋" w:eastAsia="仿宋" w:hAnsi="仿宋" w:hint="eastAsia"/>
          <w:sz w:val="24"/>
          <w:szCs w:val="24"/>
        </w:rPr>
        <w:t>。</w:t>
      </w:r>
    </w:p>
    <w:p w:rsidR="00F9121A" w:rsidRDefault="00F9121A" w:rsidP="00F9121A">
      <w:pPr>
        <w:spacing w:line="440" w:lineRule="exact"/>
        <w:ind w:firstLineChars="100" w:firstLine="240"/>
        <w:rPr>
          <w:rFonts w:ascii="仿宋" w:eastAsia="仿宋" w:hAnsi="仿宋"/>
          <w:sz w:val="24"/>
          <w:szCs w:val="24"/>
        </w:rPr>
      </w:pPr>
      <w:r>
        <w:rPr>
          <w:rFonts w:ascii="仿宋" w:eastAsia="仿宋" w:hAnsi="仿宋" w:hint="eastAsia"/>
          <w:sz w:val="24"/>
          <w:szCs w:val="24"/>
        </w:rPr>
        <w:t>注3.对于C级</w:t>
      </w:r>
      <w:r>
        <w:rPr>
          <w:rFonts w:ascii="仿宋" w:eastAsia="仿宋" w:hAnsi="仿宋"/>
          <w:sz w:val="24"/>
          <w:szCs w:val="24"/>
        </w:rPr>
        <w:t>，现场复查可</w:t>
      </w:r>
      <w:r>
        <w:rPr>
          <w:rFonts w:ascii="仿宋" w:eastAsia="仿宋" w:hAnsi="仿宋" w:hint="eastAsia"/>
          <w:sz w:val="24"/>
          <w:szCs w:val="24"/>
        </w:rPr>
        <w:t>由</w:t>
      </w:r>
      <w:r>
        <w:rPr>
          <w:rFonts w:ascii="仿宋" w:eastAsia="仿宋" w:hAnsi="仿宋"/>
          <w:sz w:val="24"/>
          <w:szCs w:val="24"/>
        </w:rPr>
        <w:t>组长或委派1名本组成员</w:t>
      </w:r>
      <w:r>
        <w:rPr>
          <w:rFonts w:ascii="仿宋" w:eastAsia="仿宋" w:hAnsi="仿宋" w:hint="eastAsia"/>
          <w:sz w:val="24"/>
          <w:szCs w:val="24"/>
        </w:rPr>
        <w:t>赴</w:t>
      </w:r>
      <w:r>
        <w:rPr>
          <w:rFonts w:ascii="仿宋" w:eastAsia="仿宋" w:hAnsi="仿宋"/>
          <w:sz w:val="24"/>
          <w:szCs w:val="24"/>
        </w:rPr>
        <w:t>被检查高校完成。</w:t>
      </w:r>
    </w:p>
    <w:p w:rsidR="00F9121A" w:rsidRDefault="00F9121A" w:rsidP="00F9121A">
      <w:pPr>
        <w:spacing w:line="440" w:lineRule="exact"/>
        <w:ind w:firstLineChars="100" w:firstLine="240"/>
        <w:rPr>
          <w:rFonts w:ascii="仿宋" w:eastAsia="仿宋" w:hAnsi="仿宋"/>
          <w:sz w:val="24"/>
          <w:szCs w:val="24"/>
        </w:rPr>
      </w:pPr>
      <w:r>
        <w:rPr>
          <w:rFonts w:ascii="仿宋" w:eastAsia="仿宋" w:hAnsi="仿宋" w:hint="eastAsia"/>
          <w:sz w:val="24"/>
          <w:szCs w:val="24"/>
        </w:rPr>
        <w:t>注4.检查</w:t>
      </w:r>
      <w:r>
        <w:rPr>
          <w:rFonts w:ascii="仿宋" w:eastAsia="仿宋" w:hAnsi="仿宋"/>
          <w:sz w:val="24"/>
          <w:szCs w:val="24"/>
        </w:rPr>
        <w:t>结果将予以通报。</w:t>
      </w:r>
      <w:r>
        <w:rPr>
          <w:rFonts w:ascii="仿宋" w:eastAsia="仿宋" w:hAnsi="仿宋" w:hint="eastAsia"/>
          <w:sz w:val="24"/>
          <w:szCs w:val="24"/>
        </w:rPr>
        <w:t>对于D级</w:t>
      </w:r>
      <w:r>
        <w:rPr>
          <w:rFonts w:ascii="仿宋" w:eastAsia="仿宋" w:hAnsi="仿宋"/>
          <w:sz w:val="24"/>
          <w:szCs w:val="24"/>
        </w:rPr>
        <w:t>，</w:t>
      </w:r>
      <w:r>
        <w:rPr>
          <w:rFonts w:ascii="仿宋" w:eastAsia="仿宋" w:hAnsi="仿宋" w:hint="eastAsia"/>
          <w:sz w:val="24"/>
          <w:szCs w:val="24"/>
        </w:rPr>
        <w:t>限期2个月</w:t>
      </w:r>
      <w:r>
        <w:rPr>
          <w:rFonts w:ascii="仿宋" w:eastAsia="仿宋" w:hAnsi="仿宋"/>
          <w:sz w:val="24"/>
          <w:szCs w:val="24"/>
        </w:rPr>
        <w:t>整改，检查组再次进校。</w:t>
      </w:r>
    </w:p>
    <w:p w:rsidR="00F9121A" w:rsidRDefault="00F9121A" w:rsidP="00F9121A">
      <w:pPr>
        <w:spacing w:line="440" w:lineRule="exact"/>
        <w:ind w:firstLineChars="100" w:firstLine="240"/>
        <w:rPr>
          <w:rFonts w:ascii="仿宋" w:eastAsia="仿宋" w:hAnsi="仿宋"/>
          <w:sz w:val="28"/>
          <w:szCs w:val="24"/>
        </w:rPr>
      </w:pPr>
      <w:r>
        <w:rPr>
          <w:rFonts w:ascii="仿宋" w:eastAsia="仿宋" w:hAnsi="仿宋" w:hint="eastAsia"/>
          <w:sz w:val="24"/>
          <w:szCs w:val="24"/>
        </w:rPr>
        <w:t xml:space="preserve">  </w:t>
      </w:r>
    </w:p>
    <w:p w:rsidR="00F9121A" w:rsidRDefault="00F9121A" w:rsidP="00F9121A">
      <w:pPr>
        <w:spacing w:line="500" w:lineRule="exact"/>
        <w:ind w:firstLineChars="200" w:firstLine="560"/>
        <w:rPr>
          <w:rFonts w:ascii="仿宋" w:eastAsia="仿宋" w:hAnsi="仿宋"/>
          <w:sz w:val="28"/>
          <w:szCs w:val="24"/>
        </w:rPr>
      </w:pPr>
    </w:p>
    <w:p w:rsidR="00F9121A" w:rsidRPr="00F9121A" w:rsidRDefault="00F9121A" w:rsidP="008175ED">
      <w:pPr>
        <w:rPr>
          <w:rFonts w:hint="eastAsia"/>
        </w:rPr>
      </w:pPr>
    </w:p>
    <w:sectPr w:rsidR="00F9121A" w:rsidRPr="00F912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986" w:rsidRDefault="005F4986" w:rsidP="00F9121A">
      <w:r>
        <w:separator/>
      </w:r>
    </w:p>
  </w:endnote>
  <w:endnote w:type="continuationSeparator" w:id="0">
    <w:p w:rsidR="005F4986" w:rsidRDefault="005F4986" w:rsidP="00F9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986" w:rsidRDefault="005F4986" w:rsidP="00F9121A">
      <w:r>
        <w:separator/>
      </w:r>
    </w:p>
  </w:footnote>
  <w:footnote w:type="continuationSeparator" w:id="0">
    <w:p w:rsidR="005F4986" w:rsidRDefault="005F4986" w:rsidP="00F91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5ED"/>
    <w:rsid w:val="001A7C50"/>
    <w:rsid w:val="0030616B"/>
    <w:rsid w:val="00451892"/>
    <w:rsid w:val="004E7FFC"/>
    <w:rsid w:val="005F4986"/>
    <w:rsid w:val="008175ED"/>
    <w:rsid w:val="00F91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154164-0D6C-4920-A102-030ED6EB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5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75ED"/>
    <w:rPr>
      <w:color w:val="0563C1" w:themeColor="hyperlink"/>
      <w:u w:val="single"/>
    </w:rPr>
  </w:style>
  <w:style w:type="paragraph" w:styleId="a4">
    <w:name w:val="header"/>
    <w:basedOn w:val="a"/>
    <w:link w:val="Char"/>
    <w:uiPriority w:val="99"/>
    <w:unhideWhenUsed/>
    <w:rsid w:val="00F912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9121A"/>
    <w:rPr>
      <w:sz w:val="18"/>
      <w:szCs w:val="18"/>
    </w:rPr>
  </w:style>
  <w:style w:type="paragraph" w:styleId="a5">
    <w:name w:val="footer"/>
    <w:basedOn w:val="a"/>
    <w:link w:val="Char0"/>
    <w:uiPriority w:val="99"/>
    <w:unhideWhenUsed/>
    <w:rsid w:val="00F9121A"/>
    <w:pPr>
      <w:tabs>
        <w:tab w:val="center" w:pos="4153"/>
        <w:tab w:val="right" w:pos="8306"/>
      </w:tabs>
      <w:snapToGrid w:val="0"/>
      <w:jc w:val="left"/>
    </w:pPr>
    <w:rPr>
      <w:sz w:val="18"/>
      <w:szCs w:val="18"/>
    </w:rPr>
  </w:style>
  <w:style w:type="character" w:customStyle="1" w:styleId="Char0">
    <w:name w:val="页脚 Char"/>
    <w:basedOn w:val="a0"/>
    <w:link w:val="a5"/>
    <w:uiPriority w:val="99"/>
    <w:rsid w:val="00F9121A"/>
    <w:rPr>
      <w:sz w:val="18"/>
      <w:szCs w:val="18"/>
    </w:rPr>
  </w:style>
  <w:style w:type="paragraph" w:styleId="a6">
    <w:name w:val="Date"/>
    <w:basedOn w:val="a"/>
    <w:next w:val="a"/>
    <w:link w:val="Char1"/>
    <w:uiPriority w:val="99"/>
    <w:semiHidden/>
    <w:unhideWhenUsed/>
    <w:rsid w:val="00F9121A"/>
    <w:pPr>
      <w:ind w:leftChars="2500" w:left="100"/>
    </w:pPr>
  </w:style>
  <w:style w:type="character" w:customStyle="1" w:styleId="Char1">
    <w:name w:val="日期 Char"/>
    <w:basedOn w:val="a0"/>
    <w:link w:val="a6"/>
    <w:uiPriority w:val="99"/>
    <w:semiHidden/>
    <w:rsid w:val="00F9121A"/>
  </w:style>
  <w:style w:type="table" w:styleId="a7">
    <w:name w:val="Table Grid"/>
    <w:basedOn w:val="a1"/>
    <w:uiPriority w:val="59"/>
    <w:qFormat/>
    <w:rsid w:val="00F9121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utech.edu.cn/cn/rootfiles/2018/09/11/1536626610343198-1536626610346060.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1256</Words>
  <Characters>7163</Characters>
  <Application>Microsoft Office Word</Application>
  <DocSecurity>0</DocSecurity>
  <Lines>59</Lines>
  <Paragraphs>16</Paragraphs>
  <ScaleCrop>false</ScaleCrop>
  <Company/>
  <LinksUpToDate>false</LinksUpToDate>
  <CharactersWithSpaces>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2018-11-14T01:44:00Z</dcterms:created>
  <dcterms:modified xsi:type="dcterms:W3CDTF">2018-11-14T01:45:00Z</dcterms:modified>
</cp:coreProperties>
</file>