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480" w:rsidRPr="00025B1A" w:rsidRDefault="00652BFE" w:rsidP="00A901E5">
      <w:pPr>
        <w:snapToGrid w:val="0"/>
        <w:jc w:val="center"/>
        <w:rPr>
          <w:rFonts w:ascii="方正小标宋简体" w:eastAsia="方正小标宋简体"/>
          <w:b/>
          <w:sz w:val="32"/>
          <w:szCs w:val="32"/>
        </w:rPr>
      </w:pPr>
      <w:bookmarkStart w:id="0" w:name="_GoBack"/>
      <w:bookmarkEnd w:id="0"/>
      <w:r>
        <w:rPr>
          <w:rFonts w:ascii="方正小标宋简体" w:eastAsia="方正小标宋简体" w:hint="eastAsia"/>
          <w:b/>
          <w:sz w:val="32"/>
          <w:szCs w:val="32"/>
        </w:rPr>
        <w:t>网上竞价</w:t>
      </w:r>
      <w:r w:rsidR="00352480" w:rsidRPr="00025B1A">
        <w:rPr>
          <w:rFonts w:ascii="方正小标宋简体" w:eastAsia="方正小标宋简体" w:hint="eastAsia"/>
          <w:b/>
          <w:sz w:val="32"/>
          <w:szCs w:val="32"/>
        </w:rPr>
        <w:t>用户需求书</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99"/>
      </w:tblGrid>
      <w:tr w:rsidR="00352480" w:rsidRPr="000546A9" w:rsidTr="008E31E2">
        <w:trPr>
          <w:trHeight w:val="567"/>
          <w:jc w:val="center"/>
        </w:trPr>
        <w:tc>
          <w:tcPr>
            <w:tcW w:w="1668" w:type="dxa"/>
            <w:shd w:val="clear" w:color="auto" w:fill="auto"/>
            <w:noWrap/>
            <w:vAlign w:val="center"/>
            <w:hideMark/>
          </w:tcPr>
          <w:p w:rsidR="00352480" w:rsidRPr="009925AC" w:rsidRDefault="00352480" w:rsidP="008E31E2">
            <w:pPr>
              <w:jc w:val="center"/>
              <w:rPr>
                <w:rFonts w:ascii="仿宋_GB2312" w:eastAsia="仿宋_GB2312"/>
                <w:sz w:val="24"/>
              </w:rPr>
            </w:pPr>
            <w:r w:rsidRPr="009925AC">
              <w:rPr>
                <w:rFonts w:ascii="仿宋_GB2312" w:eastAsia="仿宋_GB2312" w:hint="eastAsia"/>
                <w:sz w:val="24"/>
              </w:rPr>
              <w:t>设备名称</w:t>
            </w:r>
          </w:p>
        </w:tc>
        <w:tc>
          <w:tcPr>
            <w:tcW w:w="7399" w:type="dxa"/>
            <w:shd w:val="clear" w:color="auto" w:fill="auto"/>
            <w:noWrap/>
            <w:vAlign w:val="center"/>
          </w:tcPr>
          <w:p w:rsidR="00352480" w:rsidRPr="004E3FDF" w:rsidRDefault="007E1202" w:rsidP="008E31E2">
            <w:pPr>
              <w:rPr>
                <w:rFonts w:ascii="仿宋_GB2312" w:eastAsia="仿宋_GB2312"/>
                <w:color w:val="FF0000"/>
                <w:sz w:val="24"/>
              </w:rPr>
            </w:pPr>
            <w:r>
              <w:rPr>
                <w:rFonts w:ascii="仿宋_GB2312" w:eastAsia="仿宋_GB2312" w:hint="eastAsia"/>
                <w:color w:val="FF0000"/>
                <w:sz w:val="24"/>
              </w:rPr>
              <w:t>********</w:t>
            </w:r>
          </w:p>
        </w:tc>
      </w:tr>
      <w:tr w:rsidR="00352480" w:rsidRPr="009925AC" w:rsidTr="008E31E2">
        <w:trPr>
          <w:trHeight w:val="567"/>
          <w:jc w:val="center"/>
        </w:trPr>
        <w:tc>
          <w:tcPr>
            <w:tcW w:w="1668" w:type="dxa"/>
            <w:shd w:val="clear" w:color="auto" w:fill="auto"/>
            <w:noWrap/>
            <w:vAlign w:val="center"/>
          </w:tcPr>
          <w:p w:rsidR="00352480" w:rsidRPr="00295EC7" w:rsidRDefault="00352480" w:rsidP="008E31E2">
            <w:pPr>
              <w:jc w:val="center"/>
              <w:rPr>
                <w:rFonts w:ascii="仿宋_GB2312" w:eastAsia="仿宋_GB2312"/>
                <w:sz w:val="24"/>
              </w:rPr>
            </w:pPr>
            <w:r w:rsidRPr="00295EC7">
              <w:rPr>
                <w:rFonts w:ascii="仿宋_GB2312" w:eastAsia="仿宋_GB2312" w:hint="eastAsia"/>
                <w:sz w:val="24"/>
              </w:rPr>
              <w:t>数</w:t>
            </w:r>
            <w:r>
              <w:rPr>
                <w:rFonts w:ascii="仿宋_GB2312" w:eastAsia="仿宋_GB2312" w:hint="eastAsia"/>
                <w:sz w:val="24"/>
              </w:rPr>
              <w:t xml:space="preserve"> </w:t>
            </w:r>
            <w:r>
              <w:rPr>
                <w:rFonts w:ascii="仿宋_GB2312" w:eastAsia="仿宋_GB2312"/>
                <w:sz w:val="24"/>
              </w:rPr>
              <w:t xml:space="preserve">   </w:t>
            </w:r>
            <w:r w:rsidRPr="00295EC7">
              <w:rPr>
                <w:rFonts w:ascii="仿宋_GB2312" w:eastAsia="仿宋_GB2312" w:hint="eastAsia"/>
                <w:sz w:val="24"/>
              </w:rPr>
              <w:t>量</w:t>
            </w:r>
          </w:p>
        </w:tc>
        <w:tc>
          <w:tcPr>
            <w:tcW w:w="7399" w:type="dxa"/>
            <w:shd w:val="clear" w:color="auto" w:fill="auto"/>
            <w:noWrap/>
            <w:vAlign w:val="center"/>
          </w:tcPr>
          <w:p w:rsidR="00352480" w:rsidRPr="004E3FDF" w:rsidRDefault="007E1202" w:rsidP="004C7B56">
            <w:pPr>
              <w:rPr>
                <w:rFonts w:ascii="仿宋_GB2312" w:eastAsia="仿宋_GB2312"/>
                <w:color w:val="FF0000"/>
                <w:sz w:val="24"/>
              </w:rPr>
            </w:pPr>
            <w:r>
              <w:rPr>
                <w:rFonts w:ascii="仿宋_GB2312" w:eastAsia="仿宋_GB2312" w:hint="eastAsia"/>
                <w:color w:val="FF0000"/>
                <w:sz w:val="24"/>
              </w:rPr>
              <w:t>*</w:t>
            </w:r>
            <w:r w:rsidR="00156491">
              <w:rPr>
                <w:rFonts w:ascii="仿宋_GB2312" w:eastAsia="仿宋_GB2312" w:hint="eastAsia"/>
                <w:color w:val="FF0000"/>
                <w:sz w:val="24"/>
              </w:rPr>
              <w:t>**</w:t>
            </w:r>
            <w:r>
              <w:rPr>
                <w:rFonts w:ascii="仿宋_GB2312" w:eastAsia="仿宋_GB2312" w:hint="eastAsia"/>
                <w:color w:val="FF0000"/>
                <w:sz w:val="24"/>
              </w:rPr>
              <w:t>套</w:t>
            </w:r>
          </w:p>
        </w:tc>
      </w:tr>
      <w:tr w:rsidR="00A81F71" w:rsidRPr="009925AC" w:rsidTr="008E31E2">
        <w:trPr>
          <w:trHeight w:val="567"/>
          <w:jc w:val="center"/>
        </w:trPr>
        <w:tc>
          <w:tcPr>
            <w:tcW w:w="1668" w:type="dxa"/>
            <w:shd w:val="clear" w:color="auto" w:fill="auto"/>
            <w:noWrap/>
            <w:vAlign w:val="center"/>
          </w:tcPr>
          <w:p w:rsidR="00A81F71" w:rsidRPr="00295EC7" w:rsidRDefault="00A81F71" w:rsidP="008E31E2">
            <w:pPr>
              <w:jc w:val="center"/>
              <w:rPr>
                <w:rFonts w:ascii="仿宋_GB2312" w:eastAsia="仿宋_GB2312"/>
                <w:sz w:val="24"/>
              </w:rPr>
            </w:pPr>
            <w:r>
              <w:rPr>
                <w:rFonts w:ascii="仿宋_GB2312" w:eastAsia="仿宋_GB2312" w:hint="eastAsia"/>
                <w:sz w:val="24"/>
              </w:rPr>
              <w:t xml:space="preserve">预 </w:t>
            </w:r>
            <w:r>
              <w:rPr>
                <w:rFonts w:ascii="仿宋_GB2312" w:eastAsia="仿宋_GB2312"/>
                <w:sz w:val="24"/>
              </w:rPr>
              <w:t xml:space="preserve">  </w:t>
            </w:r>
            <w:r>
              <w:rPr>
                <w:rFonts w:ascii="仿宋_GB2312" w:eastAsia="仿宋_GB2312" w:hint="eastAsia"/>
                <w:sz w:val="24"/>
              </w:rPr>
              <w:t>算</w:t>
            </w:r>
          </w:p>
        </w:tc>
        <w:tc>
          <w:tcPr>
            <w:tcW w:w="7399" w:type="dxa"/>
            <w:shd w:val="clear" w:color="auto" w:fill="auto"/>
            <w:noWrap/>
            <w:vAlign w:val="center"/>
          </w:tcPr>
          <w:p w:rsidR="00A81F71" w:rsidRPr="004E3FDF" w:rsidRDefault="00A81F71" w:rsidP="008E31E2">
            <w:pPr>
              <w:rPr>
                <w:rFonts w:ascii="仿宋_GB2312" w:eastAsia="仿宋_GB2312"/>
                <w:color w:val="FF0000"/>
                <w:sz w:val="24"/>
              </w:rPr>
            </w:pPr>
            <w:r>
              <w:rPr>
                <w:rFonts w:ascii="仿宋_GB2312" w:eastAsia="仿宋_GB2312" w:hint="eastAsia"/>
                <w:color w:val="FF0000"/>
                <w:sz w:val="24"/>
              </w:rPr>
              <w:t xml:space="preserve"> </w:t>
            </w:r>
            <w:r>
              <w:rPr>
                <w:rFonts w:ascii="仿宋_GB2312" w:eastAsia="仿宋_GB2312"/>
                <w:color w:val="FF0000"/>
                <w:sz w:val="24"/>
              </w:rPr>
              <w:t xml:space="preserve">        万元</w:t>
            </w:r>
          </w:p>
        </w:tc>
      </w:tr>
      <w:tr w:rsidR="00352480" w:rsidRPr="009925AC" w:rsidTr="008E31E2">
        <w:trPr>
          <w:trHeight w:val="567"/>
          <w:jc w:val="center"/>
        </w:trPr>
        <w:tc>
          <w:tcPr>
            <w:tcW w:w="1668" w:type="dxa"/>
            <w:shd w:val="clear" w:color="auto" w:fill="auto"/>
            <w:noWrap/>
            <w:vAlign w:val="center"/>
            <w:hideMark/>
          </w:tcPr>
          <w:p w:rsidR="00352480" w:rsidRPr="00295EC7" w:rsidRDefault="00352480" w:rsidP="008E31E2">
            <w:pPr>
              <w:jc w:val="center"/>
              <w:rPr>
                <w:rFonts w:ascii="仿宋_GB2312" w:eastAsia="仿宋_GB2312"/>
                <w:sz w:val="24"/>
              </w:rPr>
            </w:pPr>
            <w:r w:rsidRPr="00295EC7">
              <w:rPr>
                <w:rFonts w:ascii="仿宋_GB2312" w:eastAsia="仿宋_GB2312" w:hint="eastAsia"/>
                <w:sz w:val="24"/>
              </w:rPr>
              <w:t>交货地点</w:t>
            </w:r>
          </w:p>
        </w:tc>
        <w:tc>
          <w:tcPr>
            <w:tcW w:w="7399" w:type="dxa"/>
            <w:shd w:val="clear" w:color="auto" w:fill="auto"/>
            <w:noWrap/>
            <w:vAlign w:val="center"/>
            <w:hideMark/>
          </w:tcPr>
          <w:p w:rsidR="00352480" w:rsidRPr="004E3FDF" w:rsidRDefault="00352480" w:rsidP="008E31E2">
            <w:pPr>
              <w:rPr>
                <w:rFonts w:ascii="宋体" w:hAnsi="宋体" w:cs="宋体"/>
                <w:color w:val="FF0000"/>
                <w:kern w:val="0"/>
                <w:sz w:val="22"/>
              </w:rPr>
            </w:pPr>
            <w:r w:rsidRPr="004E3FDF">
              <w:rPr>
                <w:rFonts w:ascii="仿宋_GB2312" w:eastAsia="仿宋_GB2312" w:hint="eastAsia"/>
                <w:color w:val="FF0000"/>
                <w:sz w:val="24"/>
              </w:rPr>
              <w:t>中国石油大学（华东）青岛校区</w:t>
            </w:r>
            <w:r w:rsidR="007E1202">
              <w:rPr>
                <w:rFonts w:ascii="仿宋_GB2312" w:eastAsia="仿宋_GB2312" w:hint="eastAsia"/>
                <w:color w:val="FF0000"/>
                <w:sz w:val="24"/>
              </w:rPr>
              <w:t>***</w:t>
            </w:r>
            <w:r w:rsidRPr="004E3FDF">
              <w:rPr>
                <w:rFonts w:ascii="仿宋_GB2312" w:eastAsia="仿宋_GB2312" w:hint="eastAsia"/>
                <w:color w:val="FF0000"/>
                <w:sz w:val="24"/>
              </w:rPr>
              <w:t>楼*</w:t>
            </w:r>
            <w:r w:rsidR="007E1202">
              <w:rPr>
                <w:rFonts w:ascii="仿宋_GB2312" w:eastAsia="仿宋_GB2312" w:hint="eastAsia"/>
                <w:color w:val="FF0000"/>
                <w:sz w:val="24"/>
              </w:rPr>
              <w:t>**</w:t>
            </w:r>
            <w:r w:rsidRPr="004E3FDF">
              <w:rPr>
                <w:rFonts w:ascii="仿宋_GB2312" w:eastAsia="仿宋_GB2312" w:hint="eastAsia"/>
                <w:color w:val="FF0000"/>
                <w:sz w:val="24"/>
              </w:rPr>
              <w:t>房间号</w:t>
            </w:r>
          </w:p>
        </w:tc>
      </w:tr>
      <w:tr w:rsidR="00352480" w:rsidRPr="009925AC" w:rsidTr="008E31E2">
        <w:trPr>
          <w:trHeight w:val="567"/>
          <w:jc w:val="center"/>
        </w:trPr>
        <w:tc>
          <w:tcPr>
            <w:tcW w:w="1668" w:type="dxa"/>
            <w:shd w:val="clear" w:color="auto" w:fill="auto"/>
            <w:noWrap/>
            <w:vAlign w:val="center"/>
            <w:hideMark/>
          </w:tcPr>
          <w:p w:rsidR="00352480" w:rsidRPr="00295EC7" w:rsidRDefault="00352480" w:rsidP="008E31E2">
            <w:pPr>
              <w:jc w:val="center"/>
              <w:rPr>
                <w:rFonts w:ascii="仿宋_GB2312" w:eastAsia="仿宋_GB2312"/>
                <w:sz w:val="24"/>
              </w:rPr>
            </w:pPr>
            <w:r w:rsidRPr="00295EC7">
              <w:rPr>
                <w:rFonts w:ascii="仿宋_GB2312" w:eastAsia="仿宋_GB2312" w:hint="eastAsia"/>
                <w:sz w:val="24"/>
              </w:rPr>
              <w:t>交货时间</w:t>
            </w:r>
          </w:p>
        </w:tc>
        <w:tc>
          <w:tcPr>
            <w:tcW w:w="7399" w:type="dxa"/>
            <w:shd w:val="clear" w:color="auto" w:fill="auto"/>
            <w:noWrap/>
            <w:vAlign w:val="center"/>
            <w:hideMark/>
          </w:tcPr>
          <w:p w:rsidR="00352480" w:rsidRPr="004E3FDF" w:rsidRDefault="00352480" w:rsidP="008E31E2">
            <w:pPr>
              <w:rPr>
                <w:rFonts w:ascii="宋体" w:hAnsi="宋体" w:cs="宋体"/>
                <w:color w:val="FF0000"/>
                <w:kern w:val="0"/>
                <w:sz w:val="22"/>
              </w:rPr>
            </w:pPr>
            <w:r w:rsidRPr="004E3FDF">
              <w:rPr>
                <w:rFonts w:ascii="仿宋_GB2312" w:eastAsia="仿宋_GB2312" w:hAnsi="Times New Roman" w:hint="eastAsia"/>
                <w:color w:val="FF0000"/>
                <w:sz w:val="24"/>
                <w:szCs w:val="24"/>
              </w:rPr>
              <w:t>合同签订后*</w:t>
            </w:r>
            <w:r w:rsidR="007E1202">
              <w:rPr>
                <w:rFonts w:ascii="仿宋_GB2312" w:eastAsia="仿宋_GB2312" w:hAnsi="Times New Roman" w:hint="eastAsia"/>
                <w:color w:val="FF0000"/>
                <w:sz w:val="24"/>
                <w:szCs w:val="24"/>
              </w:rPr>
              <w:t>**</w:t>
            </w:r>
            <w:r>
              <w:rPr>
                <w:rFonts w:ascii="仿宋_GB2312" w:eastAsia="仿宋_GB2312" w:hAnsi="Times New Roman" w:hint="eastAsia"/>
                <w:color w:val="FF0000"/>
                <w:sz w:val="24"/>
                <w:szCs w:val="24"/>
              </w:rPr>
              <w:t>日内机器全部就位安装调试完成</w:t>
            </w:r>
          </w:p>
        </w:tc>
      </w:tr>
      <w:tr w:rsidR="00754F39" w:rsidRPr="009925AC" w:rsidTr="008E31E2">
        <w:trPr>
          <w:trHeight w:val="567"/>
          <w:jc w:val="center"/>
        </w:trPr>
        <w:tc>
          <w:tcPr>
            <w:tcW w:w="1668" w:type="dxa"/>
            <w:shd w:val="clear" w:color="auto" w:fill="auto"/>
            <w:noWrap/>
            <w:vAlign w:val="center"/>
          </w:tcPr>
          <w:p w:rsidR="00754F39" w:rsidRPr="00295EC7" w:rsidRDefault="00D85D5C" w:rsidP="00652BFE">
            <w:pPr>
              <w:jc w:val="center"/>
              <w:rPr>
                <w:rFonts w:ascii="仿宋_GB2312" w:eastAsia="仿宋_GB2312"/>
                <w:sz w:val="24"/>
              </w:rPr>
            </w:pPr>
            <w:r>
              <w:rPr>
                <w:rFonts w:ascii="仿宋_GB2312" w:eastAsia="仿宋_GB2312" w:hint="eastAsia"/>
                <w:sz w:val="24"/>
              </w:rPr>
              <w:t>是否进口</w:t>
            </w:r>
            <w:r w:rsidR="00652BFE">
              <w:rPr>
                <w:rFonts w:ascii="仿宋_GB2312" w:eastAsia="仿宋_GB2312" w:hint="eastAsia"/>
                <w:sz w:val="24"/>
              </w:rPr>
              <w:t>设备</w:t>
            </w:r>
          </w:p>
        </w:tc>
        <w:tc>
          <w:tcPr>
            <w:tcW w:w="7399" w:type="dxa"/>
            <w:shd w:val="clear" w:color="auto" w:fill="auto"/>
            <w:noWrap/>
            <w:vAlign w:val="center"/>
          </w:tcPr>
          <w:p w:rsidR="00754F39" w:rsidRPr="004E3FDF" w:rsidRDefault="00D85D5C" w:rsidP="008A437E">
            <w:pPr>
              <w:rPr>
                <w:rFonts w:ascii="仿宋_GB2312" w:eastAsia="仿宋_GB2312" w:hAnsi="Times New Roman"/>
                <w:color w:val="FF0000"/>
                <w:sz w:val="24"/>
                <w:szCs w:val="24"/>
              </w:rPr>
            </w:pPr>
            <w:r>
              <w:rPr>
                <w:rFonts w:ascii="仿宋_GB2312" w:eastAsia="仿宋_GB2312" w:hAnsi="Times New Roman" w:hint="eastAsia"/>
                <w:color w:val="FF0000"/>
                <w:sz w:val="24"/>
                <w:szCs w:val="24"/>
              </w:rPr>
              <w:t>是/否（进口设备</w:t>
            </w:r>
            <w:r w:rsidR="00652BFE">
              <w:rPr>
                <w:rFonts w:ascii="仿宋_GB2312" w:eastAsia="仿宋_GB2312" w:hAnsi="Times New Roman" w:hint="eastAsia"/>
                <w:color w:val="FF0000"/>
                <w:sz w:val="24"/>
                <w:szCs w:val="24"/>
              </w:rPr>
              <w:t>指国外原装进口</w:t>
            </w:r>
            <w:r w:rsidR="008A437E">
              <w:rPr>
                <w:rFonts w:ascii="仿宋_GB2312" w:eastAsia="仿宋_GB2312" w:hAnsi="Times New Roman" w:hint="eastAsia"/>
                <w:color w:val="FF0000"/>
                <w:sz w:val="24"/>
                <w:szCs w:val="24"/>
              </w:rPr>
              <w:t>且</w:t>
            </w:r>
            <w:r w:rsidR="00652BFE">
              <w:rPr>
                <w:rFonts w:ascii="仿宋_GB2312" w:eastAsia="仿宋_GB2312" w:hAnsi="Times New Roman" w:hint="eastAsia"/>
                <w:color w:val="FF0000"/>
                <w:sz w:val="24"/>
                <w:szCs w:val="24"/>
              </w:rPr>
              <w:t>用美元或其他外币报价</w:t>
            </w:r>
            <w:r w:rsidR="008A437E">
              <w:rPr>
                <w:rFonts w:ascii="仿宋_GB2312" w:eastAsia="仿宋_GB2312" w:hAnsi="Times New Roman" w:hint="eastAsia"/>
                <w:color w:val="FF0000"/>
                <w:sz w:val="24"/>
                <w:szCs w:val="24"/>
              </w:rPr>
              <w:t>的设备</w:t>
            </w:r>
            <w:r>
              <w:rPr>
                <w:rFonts w:ascii="仿宋_GB2312" w:eastAsia="仿宋_GB2312" w:hAnsi="Times New Roman" w:hint="eastAsia"/>
                <w:color w:val="FF0000"/>
                <w:sz w:val="24"/>
                <w:szCs w:val="24"/>
              </w:rPr>
              <w:t>）</w:t>
            </w:r>
          </w:p>
        </w:tc>
      </w:tr>
      <w:tr w:rsidR="00352480" w:rsidRPr="009925AC" w:rsidTr="008E31E2">
        <w:trPr>
          <w:trHeight w:val="567"/>
          <w:jc w:val="center"/>
        </w:trPr>
        <w:tc>
          <w:tcPr>
            <w:tcW w:w="1668" w:type="dxa"/>
            <w:shd w:val="clear" w:color="auto" w:fill="auto"/>
            <w:noWrap/>
            <w:vAlign w:val="center"/>
            <w:hideMark/>
          </w:tcPr>
          <w:p w:rsidR="00352480" w:rsidRPr="00295EC7" w:rsidRDefault="00352480" w:rsidP="008E31E2">
            <w:pPr>
              <w:jc w:val="center"/>
              <w:rPr>
                <w:rFonts w:ascii="仿宋_GB2312" w:eastAsia="仿宋_GB2312"/>
                <w:sz w:val="24"/>
              </w:rPr>
            </w:pPr>
            <w:r w:rsidRPr="00295EC7">
              <w:rPr>
                <w:rFonts w:ascii="仿宋_GB2312" w:eastAsia="仿宋_GB2312" w:hint="eastAsia"/>
                <w:sz w:val="24"/>
              </w:rPr>
              <w:t>质保期限</w:t>
            </w:r>
          </w:p>
        </w:tc>
        <w:tc>
          <w:tcPr>
            <w:tcW w:w="7399" w:type="dxa"/>
            <w:shd w:val="clear" w:color="auto" w:fill="auto"/>
            <w:noWrap/>
            <w:vAlign w:val="center"/>
            <w:hideMark/>
          </w:tcPr>
          <w:p w:rsidR="00352480" w:rsidRPr="004E3FDF" w:rsidRDefault="00352480" w:rsidP="008E31E2">
            <w:pPr>
              <w:rPr>
                <w:rFonts w:ascii="宋体" w:hAnsi="宋体" w:cs="宋体"/>
                <w:color w:val="FF0000"/>
                <w:kern w:val="0"/>
                <w:sz w:val="22"/>
              </w:rPr>
            </w:pPr>
            <w:r w:rsidRPr="004E3FDF">
              <w:rPr>
                <w:rFonts w:ascii="仿宋_GB2312" w:eastAsia="仿宋_GB2312" w:hint="eastAsia"/>
                <w:color w:val="FF0000"/>
                <w:sz w:val="24"/>
              </w:rPr>
              <w:t>自验收合格起免费质保</w:t>
            </w:r>
            <w:r w:rsidR="007E1202">
              <w:rPr>
                <w:rFonts w:ascii="仿宋_GB2312" w:eastAsia="仿宋_GB2312" w:hint="eastAsia"/>
                <w:color w:val="FF0000"/>
                <w:sz w:val="24"/>
              </w:rPr>
              <w:t>**</w:t>
            </w:r>
            <w:r w:rsidRPr="004E3FDF">
              <w:rPr>
                <w:rFonts w:ascii="仿宋_GB2312" w:eastAsia="仿宋_GB2312" w:hint="eastAsia"/>
                <w:color w:val="FF0000"/>
                <w:sz w:val="24"/>
              </w:rPr>
              <w:t>*年</w:t>
            </w:r>
            <w:r w:rsidR="00D85D5C">
              <w:rPr>
                <w:rFonts w:ascii="仿宋_GB2312" w:eastAsia="仿宋_GB2312" w:hint="eastAsia"/>
                <w:color w:val="FF0000"/>
                <w:sz w:val="24"/>
              </w:rPr>
              <w:t>及</w:t>
            </w:r>
            <w:r w:rsidRPr="004E3FDF">
              <w:rPr>
                <w:rFonts w:ascii="仿宋_GB2312" w:eastAsia="仿宋_GB2312" w:hint="eastAsia"/>
                <w:color w:val="FF0000"/>
                <w:sz w:val="24"/>
              </w:rPr>
              <w:t>以上</w:t>
            </w:r>
          </w:p>
        </w:tc>
      </w:tr>
      <w:tr w:rsidR="00352480" w:rsidRPr="009925AC" w:rsidTr="008E31E2">
        <w:trPr>
          <w:trHeight w:val="567"/>
          <w:jc w:val="center"/>
        </w:trPr>
        <w:tc>
          <w:tcPr>
            <w:tcW w:w="1668" w:type="dxa"/>
            <w:shd w:val="clear" w:color="auto" w:fill="auto"/>
            <w:noWrap/>
            <w:vAlign w:val="center"/>
          </w:tcPr>
          <w:p w:rsidR="00352480" w:rsidRPr="00295EC7" w:rsidRDefault="00352480" w:rsidP="008E31E2">
            <w:pPr>
              <w:jc w:val="center"/>
              <w:rPr>
                <w:rFonts w:ascii="仿宋_GB2312" w:eastAsia="仿宋_GB2312"/>
                <w:sz w:val="24"/>
              </w:rPr>
            </w:pPr>
            <w:r>
              <w:rPr>
                <w:rFonts w:ascii="仿宋_GB2312" w:eastAsia="仿宋_GB2312" w:hint="eastAsia"/>
                <w:sz w:val="24"/>
              </w:rPr>
              <w:t>付款方式</w:t>
            </w:r>
          </w:p>
        </w:tc>
        <w:tc>
          <w:tcPr>
            <w:tcW w:w="7399" w:type="dxa"/>
            <w:shd w:val="clear" w:color="auto" w:fill="auto"/>
            <w:noWrap/>
            <w:vAlign w:val="center"/>
          </w:tcPr>
          <w:p w:rsidR="00352480" w:rsidRPr="008A437E" w:rsidRDefault="00352480" w:rsidP="008A437E">
            <w:pPr>
              <w:snapToGrid w:val="0"/>
              <w:spacing w:line="360" w:lineRule="auto"/>
              <w:ind w:firstLineChars="200" w:firstLine="482"/>
              <w:rPr>
                <w:rFonts w:ascii="仿宋_GB2312" w:eastAsia="仿宋_GB2312"/>
                <w:b/>
                <w:color w:val="FF0000"/>
                <w:sz w:val="24"/>
              </w:rPr>
            </w:pPr>
            <w:r w:rsidRPr="002A0068">
              <w:rPr>
                <w:rFonts w:ascii="仿宋_GB2312" w:eastAsia="仿宋_GB2312" w:hint="eastAsia"/>
                <w:b/>
                <w:color w:val="FF0000"/>
                <w:sz w:val="24"/>
              </w:rPr>
              <w:t>国产设备付款方式采用以下第</w:t>
            </w:r>
            <w:r w:rsidRPr="002A0068">
              <w:rPr>
                <w:rFonts w:ascii="仿宋_GB2312" w:eastAsia="仿宋_GB2312" w:hint="eastAsia"/>
                <w:b/>
                <w:color w:val="FF0000"/>
                <w:sz w:val="24"/>
                <w:u w:val="single"/>
              </w:rPr>
              <w:t>（ ）</w:t>
            </w:r>
            <w:r w:rsidRPr="002A0068">
              <w:rPr>
                <w:rFonts w:ascii="仿宋_GB2312" w:eastAsia="仿宋_GB2312" w:hint="eastAsia"/>
                <w:b/>
                <w:color w:val="FF0000"/>
                <w:sz w:val="24"/>
              </w:rPr>
              <w:t>种：</w:t>
            </w:r>
            <w:r w:rsidR="008A437E" w:rsidRPr="008A437E">
              <w:rPr>
                <w:rFonts w:ascii="仿宋_GB2312" w:eastAsia="仿宋_GB2312" w:hint="eastAsia"/>
                <w:color w:val="2E74B5" w:themeColor="accent1" w:themeShade="BF"/>
                <w:sz w:val="24"/>
              </w:rPr>
              <w:t>（</w:t>
            </w:r>
            <w:r w:rsidR="008A437E" w:rsidRPr="008A437E">
              <w:rPr>
                <w:rFonts w:ascii="仿宋_GB2312" w:eastAsia="仿宋_GB2312" w:hint="eastAsia"/>
                <w:color w:val="2E74B5" w:themeColor="accent1" w:themeShade="BF"/>
                <w:sz w:val="24"/>
                <w:szCs w:val="24"/>
              </w:rPr>
              <w:t>如果经费来源为“双一流”引导专项和中央高校改善基本办学条件专项，则付款方式选择第（2）种，其他经费付款方式选择等（1）种。）</w:t>
            </w:r>
          </w:p>
          <w:p w:rsidR="00352480" w:rsidRPr="00720E93" w:rsidRDefault="00352480" w:rsidP="008E31E2">
            <w:pPr>
              <w:spacing w:line="360" w:lineRule="auto"/>
              <w:ind w:firstLineChars="200" w:firstLine="480"/>
              <w:rPr>
                <w:rFonts w:ascii="仿宋_GB2312" w:eastAsia="仿宋_GB2312"/>
                <w:sz w:val="24"/>
              </w:rPr>
            </w:pPr>
            <w:r w:rsidRPr="00720E93">
              <w:rPr>
                <w:rFonts w:ascii="仿宋_GB2312" w:eastAsia="仿宋_GB2312" w:hint="eastAsia"/>
                <w:sz w:val="24"/>
              </w:rPr>
              <w:t>（1）本项目设备全部到货、安装并验收合格后30日内供方开具全额合同货款发票，凭用户签字、</w:t>
            </w:r>
            <w:r w:rsidR="00871E2D" w:rsidRPr="00720E93">
              <w:rPr>
                <w:rFonts w:ascii="仿宋_GB2312" w:eastAsia="仿宋_GB2312" w:hint="eastAsia"/>
                <w:sz w:val="24"/>
              </w:rPr>
              <w:t>国有资产管理处</w:t>
            </w:r>
            <w:r w:rsidRPr="00720E93">
              <w:rPr>
                <w:rFonts w:ascii="仿宋_GB2312" w:eastAsia="仿宋_GB2312" w:hint="eastAsia"/>
                <w:sz w:val="24"/>
              </w:rPr>
              <w:t>盖章的验收单支付合同货款的90%；其余10%款项为质保金，验收合格一年后视产品质量及服务情况，支付尾款。</w:t>
            </w:r>
          </w:p>
          <w:p w:rsidR="00352480" w:rsidRPr="00720E93" w:rsidRDefault="00352480" w:rsidP="008E31E2">
            <w:pPr>
              <w:spacing w:line="360" w:lineRule="auto"/>
              <w:ind w:firstLineChars="200" w:firstLine="480"/>
              <w:rPr>
                <w:rFonts w:ascii="仿宋_GB2312" w:eastAsia="仿宋_GB2312"/>
                <w:sz w:val="24"/>
              </w:rPr>
            </w:pPr>
            <w:r w:rsidRPr="00720E93">
              <w:rPr>
                <w:rFonts w:ascii="仿宋_GB2312" w:eastAsia="仿宋_GB2312" w:hint="eastAsia"/>
                <w:sz w:val="24"/>
              </w:rPr>
              <w:t>（2）本项目设备全部到货、安装并调试验收合格后30日内供方开具全额合同货款发票并预交合同金额的10%作为质保金，凭用户签字、国有资产管理处盖章的验收单支付合同货款的100%；质保金于验收合格一年后无质量问题无息一次性返还。</w:t>
            </w:r>
          </w:p>
          <w:p w:rsidR="00352480" w:rsidRPr="002A0068" w:rsidRDefault="00352480" w:rsidP="008E31E2">
            <w:pPr>
              <w:spacing w:line="360" w:lineRule="auto"/>
              <w:rPr>
                <w:rFonts w:ascii="仿宋_GB2312" w:eastAsia="仿宋_GB2312"/>
                <w:b/>
                <w:sz w:val="24"/>
              </w:rPr>
            </w:pPr>
            <w:r w:rsidRPr="002A0068">
              <w:rPr>
                <w:rFonts w:ascii="仿宋_GB2312" w:eastAsia="仿宋_GB2312" w:hint="eastAsia"/>
                <w:b/>
                <w:sz w:val="24"/>
              </w:rPr>
              <w:t>进口设备付款方式：</w:t>
            </w:r>
          </w:p>
          <w:p w:rsidR="00352480" w:rsidRPr="004E3FDF" w:rsidRDefault="00352480" w:rsidP="008E31E2">
            <w:pPr>
              <w:spacing w:line="360" w:lineRule="auto"/>
              <w:ind w:firstLineChars="200" w:firstLine="480"/>
              <w:rPr>
                <w:rFonts w:ascii="仿宋_GB2312" w:eastAsia="仿宋_GB2312"/>
                <w:color w:val="FF0000"/>
                <w:sz w:val="24"/>
              </w:rPr>
            </w:pPr>
            <w:r w:rsidRPr="00031851">
              <w:rPr>
                <w:rFonts w:ascii="仿宋_GB2312" w:eastAsia="仿宋_GB2312" w:hint="eastAsia"/>
                <w:sz w:val="24"/>
              </w:rPr>
              <w:t>采用100％即期不可撤销信用证方式，90%凭进口单据支付，10%凭用户签字、</w:t>
            </w:r>
            <w:r w:rsidR="00871E2D" w:rsidRPr="00720E93">
              <w:rPr>
                <w:rFonts w:ascii="仿宋_GB2312" w:eastAsia="仿宋_GB2312" w:hint="eastAsia"/>
                <w:sz w:val="24"/>
              </w:rPr>
              <w:t>国有资产管理处</w:t>
            </w:r>
            <w:r w:rsidRPr="00031851">
              <w:rPr>
                <w:rFonts w:ascii="仿宋_GB2312" w:eastAsia="仿宋_GB2312" w:hint="eastAsia"/>
                <w:sz w:val="24"/>
              </w:rPr>
              <w:t>盖章的验收单支付。</w:t>
            </w:r>
          </w:p>
        </w:tc>
      </w:tr>
      <w:tr w:rsidR="00352480" w:rsidRPr="009925AC" w:rsidTr="008E31E2">
        <w:trPr>
          <w:trHeight w:val="542"/>
          <w:jc w:val="center"/>
        </w:trPr>
        <w:tc>
          <w:tcPr>
            <w:tcW w:w="9067" w:type="dxa"/>
            <w:gridSpan w:val="2"/>
            <w:shd w:val="clear" w:color="auto" w:fill="auto"/>
            <w:noWrap/>
            <w:vAlign w:val="center"/>
            <w:hideMark/>
          </w:tcPr>
          <w:p w:rsidR="00352480" w:rsidRPr="009925AC" w:rsidRDefault="00352480" w:rsidP="008E31E2">
            <w:pPr>
              <w:jc w:val="center"/>
              <w:rPr>
                <w:rFonts w:ascii="仿宋_GB2312" w:eastAsia="仿宋_GB2312"/>
                <w:sz w:val="24"/>
              </w:rPr>
            </w:pPr>
            <w:r w:rsidRPr="004F4354">
              <w:rPr>
                <w:rFonts w:ascii="仿宋_GB2312" w:eastAsia="仿宋_GB2312" w:hint="eastAsia"/>
                <w:b/>
                <w:sz w:val="24"/>
              </w:rPr>
              <w:t>具体要求</w:t>
            </w:r>
          </w:p>
        </w:tc>
      </w:tr>
      <w:tr w:rsidR="00352480" w:rsidRPr="009925AC" w:rsidTr="00A44309">
        <w:trPr>
          <w:trHeight w:val="3749"/>
          <w:jc w:val="center"/>
        </w:trPr>
        <w:tc>
          <w:tcPr>
            <w:tcW w:w="9067" w:type="dxa"/>
            <w:gridSpan w:val="2"/>
            <w:shd w:val="clear" w:color="auto" w:fill="auto"/>
            <w:noWrap/>
          </w:tcPr>
          <w:p w:rsidR="004915D5" w:rsidRPr="004915D5" w:rsidRDefault="00707415" w:rsidP="004915D5">
            <w:pPr>
              <w:autoSpaceDN w:val="0"/>
              <w:spacing w:line="360" w:lineRule="auto"/>
              <w:ind w:firstLineChars="200" w:firstLine="482"/>
              <w:rPr>
                <w:rFonts w:ascii="仿宋_GB2312" w:eastAsia="仿宋_GB2312"/>
                <w:b/>
                <w:kern w:val="0"/>
                <w:sz w:val="24"/>
                <w:szCs w:val="24"/>
              </w:rPr>
            </w:pPr>
            <w:r>
              <w:rPr>
                <w:rFonts w:ascii="仿宋_GB2312" w:eastAsia="仿宋_GB2312" w:hint="eastAsia"/>
                <w:b/>
                <w:kern w:val="0"/>
                <w:sz w:val="24"/>
                <w:szCs w:val="24"/>
              </w:rPr>
              <w:lastRenderedPageBreak/>
              <w:t>一</w:t>
            </w:r>
            <w:r w:rsidR="004915D5" w:rsidRPr="004915D5">
              <w:rPr>
                <w:rFonts w:ascii="仿宋_GB2312" w:eastAsia="仿宋_GB2312" w:hint="eastAsia"/>
                <w:b/>
                <w:kern w:val="0"/>
                <w:sz w:val="24"/>
                <w:szCs w:val="24"/>
              </w:rPr>
              <w:t>、功能及用途</w:t>
            </w:r>
            <w:r>
              <w:rPr>
                <w:rFonts w:ascii="仿宋_GB2312" w:eastAsia="仿宋_GB2312" w:hint="eastAsia"/>
                <w:b/>
                <w:kern w:val="0"/>
                <w:sz w:val="24"/>
                <w:szCs w:val="24"/>
              </w:rPr>
              <w:t>要求</w:t>
            </w:r>
          </w:p>
          <w:p w:rsidR="004915D5" w:rsidRPr="008A437E" w:rsidRDefault="004915D5" w:rsidP="004915D5">
            <w:pPr>
              <w:autoSpaceDN w:val="0"/>
              <w:spacing w:line="360" w:lineRule="auto"/>
              <w:ind w:firstLineChars="200" w:firstLine="480"/>
              <w:rPr>
                <w:rFonts w:ascii="仿宋_GB2312" w:eastAsia="仿宋_GB2312"/>
                <w:kern w:val="0"/>
                <w:sz w:val="24"/>
                <w:szCs w:val="24"/>
              </w:rPr>
            </w:pPr>
            <w:r w:rsidRPr="008A437E">
              <w:rPr>
                <w:rFonts w:ascii="仿宋_GB2312" w:eastAsia="仿宋_GB2312" w:hint="eastAsia"/>
                <w:kern w:val="0"/>
                <w:sz w:val="24"/>
                <w:szCs w:val="24"/>
              </w:rPr>
              <w:t>适用于样品中阴离子、阳离子、有机酸类物质的分析。</w:t>
            </w:r>
          </w:p>
          <w:p w:rsidR="004915D5" w:rsidRPr="008A437E" w:rsidRDefault="00707415" w:rsidP="004915D5">
            <w:pPr>
              <w:autoSpaceDN w:val="0"/>
              <w:spacing w:line="360" w:lineRule="auto"/>
              <w:ind w:firstLineChars="200" w:firstLine="482"/>
              <w:rPr>
                <w:rFonts w:ascii="仿宋_GB2312" w:eastAsia="仿宋_GB2312"/>
                <w:b/>
                <w:kern w:val="0"/>
                <w:sz w:val="24"/>
                <w:szCs w:val="24"/>
              </w:rPr>
            </w:pPr>
            <w:r w:rsidRPr="008A437E">
              <w:rPr>
                <w:rFonts w:ascii="仿宋_GB2312" w:eastAsia="仿宋_GB2312" w:hint="eastAsia"/>
                <w:b/>
                <w:kern w:val="0"/>
                <w:sz w:val="24"/>
                <w:szCs w:val="24"/>
              </w:rPr>
              <w:t>二</w:t>
            </w:r>
            <w:r w:rsidR="004915D5" w:rsidRPr="008A437E">
              <w:rPr>
                <w:rFonts w:ascii="仿宋_GB2312" w:eastAsia="仿宋_GB2312" w:hint="eastAsia"/>
                <w:b/>
                <w:kern w:val="0"/>
                <w:sz w:val="24"/>
                <w:szCs w:val="24"/>
              </w:rPr>
              <w:t>、技术要求</w:t>
            </w:r>
          </w:p>
          <w:p w:rsidR="004915D5" w:rsidRPr="008A437E" w:rsidRDefault="004915D5" w:rsidP="004915D5">
            <w:pPr>
              <w:autoSpaceDN w:val="0"/>
              <w:spacing w:line="360" w:lineRule="auto"/>
              <w:ind w:firstLineChars="200" w:firstLine="480"/>
              <w:rPr>
                <w:rFonts w:ascii="仿宋_GB2312" w:eastAsia="仿宋_GB2312"/>
                <w:kern w:val="0"/>
                <w:sz w:val="24"/>
                <w:szCs w:val="24"/>
              </w:rPr>
            </w:pPr>
            <w:r w:rsidRPr="008A437E">
              <w:rPr>
                <w:rFonts w:ascii="仿宋_GB2312" w:eastAsia="仿宋_GB2312" w:hint="eastAsia"/>
                <w:kern w:val="0"/>
                <w:sz w:val="24"/>
                <w:szCs w:val="24"/>
              </w:rPr>
              <w:t>2.1 离子色谱系统，包括淋洗液瓶、泵、内置电动六通阀、保护柱、分析柱、阴离子抑制器、阳离子抑制器和电导检测器。</w:t>
            </w:r>
          </w:p>
          <w:p w:rsidR="004915D5" w:rsidRPr="008A437E" w:rsidRDefault="004915D5" w:rsidP="004915D5">
            <w:pPr>
              <w:autoSpaceDN w:val="0"/>
              <w:spacing w:line="360" w:lineRule="auto"/>
              <w:ind w:firstLineChars="200" w:firstLine="480"/>
              <w:rPr>
                <w:rFonts w:ascii="仿宋_GB2312" w:eastAsia="仿宋_GB2312"/>
                <w:kern w:val="0"/>
                <w:sz w:val="24"/>
                <w:szCs w:val="24"/>
              </w:rPr>
            </w:pPr>
            <w:r w:rsidRPr="008A437E">
              <w:rPr>
                <w:rFonts w:ascii="仿宋_GB2312" w:eastAsia="仿宋_GB2312" w:hint="eastAsia"/>
                <w:kern w:val="0"/>
                <w:sz w:val="24"/>
                <w:szCs w:val="24"/>
              </w:rPr>
              <w:t>2.2 所有的离子色谱流路均标配采用原厂PEEK材质，须包括分析泵本身及分析泵后至六通阀、色谱柱、抑制器、检测器之间的所有管路，不得国内改装。支持单泵高压二元梯度功能升级。</w:t>
            </w:r>
          </w:p>
          <w:p w:rsidR="004915D5" w:rsidRPr="008A437E" w:rsidRDefault="004915D5" w:rsidP="004915D5">
            <w:pPr>
              <w:autoSpaceDN w:val="0"/>
              <w:spacing w:line="360" w:lineRule="auto"/>
              <w:ind w:firstLineChars="200" w:firstLine="480"/>
              <w:rPr>
                <w:rFonts w:ascii="仿宋_GB2312" w:eastAsia="仿宋_GB2312"/>
                <w:kern w:val="0"/>
                <w:sz w:val="24"/>
                <w:szCs w:val="24"/>
              </w:rPr>
            </w:pPr>
            <w:r w:rsidRPr="008A437E">
              <w:rPr>
                <w:rFonts w:ascii="仿宋_GB2312" w:eastAsia="仿宋_GB2312" w:hint="eastAsia"/>
                <w:kern w:val="0"/>
                <w:sz w:val="24"/>
                <w:szCs w:val="24"/>
              </w:rPr>
              <w:t>2.3 泵：高性能/低脉冲双柱塞泵，采用化学惰性的非金属无阻尼泵头，PEEK管路。适合于pH为0～14的淋洗液及反相有机溶剂。</w:t>
            </w:r>
          </w:p>
          <w:p w:rsidR="004915D5" w:rsidRPr="008A437E" w:rsidRDefault="004915D5" w:rsidP="004915D5">
            <w:pPr>
              <w:autoSpaceDN w:val="0"/>
              <w:spacing w:line="360" w:lineRule="auto"/>
              <w:ind w:firstLineChars="200" w:firstLine="480"/>
              <w:rPr>
                <w:rFonts w:ascii="仿宋_GB2312" w:eastAsia="仿宋_GB2312"/>
                <w:kern w:val="0"/>
                <w:sz w:val="24"/>
                <w:szCs w:val="24"/>
              </w:rPr>
            </w:pPr>
            <w:r w:rsidRPr="008A437E">
              <w:rPr>
                <w:rFonts w:ascii="仿宋_GB2312" w:eastAsia="仿宋_GB2312" w:hint="eastAsia"/>
                <w:kern w:val="0"/>
                <w:sz w:val="24"/>
                <w:szCs w:val="24"/>
              </w:rPr>
              <w:t>2.3.1 流速范围：0.00-5.00 mL/min；</w:t>
            </w:r>
          </w:p>
          <w:p w:rsidR="004915D5" w:rsidRPr="008A437E" w:rsidRDefault="004915D5" w:rsidP="004915D5">
            <w:pPr>
              <w:autoSpaceDN w:val="0"/>
              <w:spacing w:line="360" w:lineRule="auto"/>
              <w:ind w:firstLineChars="200" w:firstLine="480"/>
              <w:rPr>
                <w:rFonts w:ascii="仿宋_GB2312" w:eastAsia="仿宋_GB2312"/>
                <w:kern w:val="0"/>
                <w:sz w:val="24"/>
                <w:szCs w:val="24"/>
              </w:rPr>
            </w:pPr>
            <w:r w:rsidRPr="008A437E">
              <w:rPr>
                <w:rFonts w:ascii="仿宋_GB2312" w:eastAsia="仿宋_GB2312" w:hint="eastAsia"/>
                <w:kern w:val="0"/>
                <w:sz w:val="24"/>
                <w:szCs w:val="24"/>
              </w:rPr>
              <w:t>2.3.2 最大压力：5000psi；</w:t>
            </w:r>
          </w:p>
          <w:p w:rsidR="004915D5" w:rsidRPr="008A437E" w:rsidRDefault="004915D5" w:rsidP="004915D5">
            <w:pPr>
              <w:autoSpaceDN w:val="0"/>
              <w:spacing w:line="360" w:lineRule="auto"/>
              <w:ind w:firstLineChars="200" w:firstLine="480"/>
              <w:rPr>
                <w:rFonts w:ascii="仿宋_GB2312" w:eastAsia="仿宋_GB2312"/>
                <w:kern w:val="0"/>
                <w:sz w:val="24"/>
                <w:szCs w:val="24"/>
              </w:rPr>
            </w:pPr>
            <w:r w:rsidRPr="008A437E">
              <w:rPr>
                <w:rFonts w:ascii="仿宋_GB2312" w:eastAsia="仿宋_GB2312" w:hint="eastAsia"/>
                <w:kern w:val="0"/>
                <w:sz w:val="24"/>
                <w:szCs w:val="24"/>
              </w:rPr>
              <w:t>2.3.3 流速最大误差&lt;0.1%；</w:t>
            </w:r>
          </w:p>
          <w:p w:rsidR="004915D5" w:rsidRPr="008A437E" w:rsidRDefault="004915D5" w:rsidP="004915D5">
            <w:pPr>
              <w:autoSpaceDN w:val="0"/>
              <w:spacing w:line="360" w:lineRule="auto"/>
              <w:ind w:firstLineChars="200" w:firstLine="480"/>
              <w:rPr>
                <w:rFonts w:ascii="仿宋_GB2312" w:eastAsia="仿宋_GB2312"/>
                <w:kern w:val="0"/>
                <w:sz w:val="24"/>
                <w:szCs w:val="24"/>
              </w:rPr>
            </w:pPr>
            <w:r w:rsidRPr="008A437E">
              <w:rPr>
                <w:rFonts w:ascii="仿宋_GB2312" w:eastAsia="仿宋_GB2312" w:hint="eastAsia"/>
                <w:kern w:val="0"/>
                <w:sz w:val="24"/>
                <w:szCs w:val="24"/>
              </w:rPr>
              <w:t>2.3.4 流量精密度：&lt;0.1%；</w:t>
            </w:r>
          </w:p>
          <w:p w:rsidR="004915D5" w:rsidRPr="008A437E" w:rsidRDefault="004915D5" w:rsidP="004915D5">
            <w:pPr>
              <w:autoSpaceDN w:val="0"/>
              <w:spacing w:line="360" w:lineRule="auto"/>
              <w:ind w:firstLineChars="200" w:firstLine="480"/>
              <w:rPr>
                <w:rFonts w:ascii="仿宋_GB2312" w:eastAsia="仿宋_GB2312"/>
                <w:kern w:val="0"/>
                <w:sz w:val="24"/>
                <w:szCs w:val="24"/>
              </w:rPr>
            </w:pPr>
            <w:r w:rsidRPr="008A437E">
              <w:rPr>
                <w:rFonts w:ascii="仿宋_GB2312" w:eastAsia="仿宋_GB2312" w:hint="eastAsia"/>
                <w:kern w:val="0"/>
                <w:sz w:val="24"/>
                <w:szCs w:val="24"/>
              </w:rPr>
              <w:t>2.3.5 压力脉冲：小于系统压力的1.0%；</w:t>
            </w:r>
          </w:p>
          <w:p w:rsidR="004915D5" w:rsidRPr="008A437E" w:rsidRDefault="004915D5" w:rsidP="004915D5">
            <w:pPr>
              <w:autoSpaceDN w:val="0"/>
              <w:spacing w:line="360" w:lineRule="auto"/>
              <w:ind w:firstLineChars="200" w:firstLine="480"/>
              <w:rPr>
                <w:rFonts w:ascii="仿宋_GB2312" w:eastAsia="仿宋_GB2312"/>
                <w:kern w:val="0"/>
                <w:sz w:val="24"/>
                <w:szCs w:val="24"/>
              </w:rPr>
            </w:pPr>
            <w:r w:rsidRPr="008A437E">
              <w:rPr>
                <w:rFonts w:ascii="仿宋_GB2312" w:eastAsia="仿宋_GB2312" w:hint="eastAsia"/>
                <w:kern w:val="0"/>
                <w:sz w:val="24"/>
                <w:szCs w:val="24"/>
              </w:rPr>
              <w:t>2.3.6 二元高压梯度淋洗系统</w:t>
            </w:r>
          </w:p>
          <w:p w:rsidR="004915D5" w:rsidRPr="008A437E" w:rsidRDefault="004915D5" w:rsidP="004915D5">
            <w:pPr>
              <w:autoSpaceDN w:val="0"/>
              <w:spacing w:line="360" w:lineRule="auto"/>
              <w:ind w:firstLineChars="200" w:firstLine="480"/>
              <w:rPr>
                <w:rFonts w:ascii="仿宋_GB2312" w:eastAsia="仿宋_GB2312"/>
                <w:kern w:val="0"/>
                <w:sz w:val="24"/>
                <w:szCs w:val="24"/>
              </w:rPr>
            </w:pPr>
            <w:r w:rsidRPr="008A437E">
              <w:rPr>
                <w:rFonts w:ascii="仿宋_GB2312" w:eastAsia="仿宋_GB2312" w:hint="eastAsia"/>
                <w:kern w:val="0"/>
                <w:sz w:val="24"/>
                <w:szCs w:val="24"/>
              </w:rPr>
              <w:t>（1）高压梯度重复性偏差限：&lt;0.2%；</w:t>
            </w:r>
          </w:p>
          <w:p w:rsidR="004915D5" w:rsidRPr="008A437E" w:rsidRDefault="004915D5" w:rsidP="004915D5">
            <w:pPr>
              <w:autoSpaceDN w:val="0"/>
              <w:spacing w:line="360" w:lineRule="auto"/>
              <w:ind w:firstLineChars="200" w:firstLine="480"/>
              <w:rPr>
                <w:rFonts w:ascii="仿宋_GB2312" w:eastAsia="仿宋_GB2312"/>
                <w:kern w:val="0"/>
                <w:sz w:val="24"/>
                <w:szCs w:val="24"/>
              </w:rPr>
            </w:pPr>
            <w:r w:rsidRPr="008A437E">
              <w:rPr>
                <w:rFonts w:ascii="仿宋_GB2312" w:eastAsia="仿宋_GB2312" w:hint="eastAsia"/>
                <w:kern w:val="0"/>
                <w:sz w:val="24"/>
                <w:szCs w:val="24"/>
              </w:rPr>
              <w:t>（2）高压梯度误差限：&lt;0.15%。</w:t>
            </w:r>
          </w:p>
          <w:p w:rsidR="004915D5" w:rsidRDefault="00652BFE" w:rsidP="004915D5">
            <w:pPr>
              <w:autoSpaceDN w:val="0"/>
              <w:spacing w:line="360" w:lineRule="auto"/>
              <w:ind w:firstLineChars="200" w:firstLine="480"/>
              <w:rPr>
                <w:rFonts w:ascii="仿宋_GB2312" w:eastAsia="仿宋_GB2312"/>
                <w:kern w:val="0"/>
                <w:sz w:val="24"/>
                <w:szCs w:val="24"/>
              </w:rPr>
            </w:pPr>
            <w:r w:rsidRPr="008A437E">
              <w:rPr>
                <w:rFonts w:ascii="仿宋_GB2312" w:eastAsia="仿宋_GB2312" w:hint="eastAsia"/>
                <w:kern w:val="0"/>
                <w:sz w:val="24"/>
                <w:szCs w:val="24"/>
              </w:rPr>
              <w:t>……</w:t>
            </w:r>
          </w:p>
          <w:p w:rsidR="008A437E" w:rsidRPr="008A437E" w:rsidRDefault="008A437E" w:rsidP="008A437E">
            <w:pPr>
              <w:autoSpaceDN w:val="0"/>
              <w:spacing w:line="360" w:lineRule="auto"/>
              <w:ind w:firstLineChars="200" w:firstLine="480"/>
              <w:rPr>
                <w:rFonts w:ascii="仿宋_GB2312" w:eastAsia="仿宋_GB2312"/>
                <w:kern w:val="0"/>
                <w:sz w:val="24"/>
                <w:szCs w:val="24"/>
              </w:rPr>
            </w:pPr>
            <w:r w:rsidRPr="008A437E">
              <w:rPr>
                <w:rFonts w:ascii="仿宋_GB2312" w:eastAsia="仿宋_GB2312" w:hint="eastAsia"/>
                <w:kern w:val="0"/>
                <w:sz w:val="24"/>
                <w:szCs w:val="24"/>
              </w:rPr>
              <w:t>5、真空系统</w:t>
            </w:r>
          </w:p>
          <w:p w:rsidR="008A437E" w:rsidRPr="008A437E" w:rsidRDefault="008A437E" w:rsidP="008A437E">
            <w:pPr>
              <w:autoSpaceDN w:val="0"/>
              <w:spacing w:line="360" w:lineRule="auto"/>
              <w:ind w:firstLineChars="200" w:firstLine="480"/>
              <w:rPr>
                <w:rFonts w:ascii="仿宋_GB2312" w:eastAsia="仿宋_GB2312"/>
                <w:kern w:val="0"/>
                <w:sz w:val="24"/>
                <w:szCs w:val="24"/>
              </w:rPr>
            </w:pPr>
            <w:r w:rsidRPr="008A437E">
              <w:rPr>
                <w:rFonts w:ascii="仿宋_GB2312" w:eastAsia="仿宋_GB2312" w:hint="eastAsia"/>
                <w:kern w:val="0"/>
                <w:sz w:val="24"/>
                <w:szCs w:val="24"/>
              </w:rPr>
              <w:t>自动气控电镀板；配有</w:t>
            </w:r>
            <w:r w:rsidRPr="008A437E">
              <w:rPr>
                <w:rFonts w:ascii="仿宋_GB2312" w:eastAsia="仿宋_GB2312" w:hint="eastAsia"/>
                <w:color w:val="FF0000"/>
                <w:kern w:val="0"/>
                <w:sz w:val="24"/>
                <w:szCs w:val="24"/>
              </w:rPr>
              <w:t>英国EdwardsRV12</w:t>
            </w:r>
            <w:r w:rsidRPr="008A437E">
              <w:rPr>
                <w:rFonts w:ascii="仿宋_GB2312" w:eastAsia="仿宋_GB2312" w:hint="eastAsia"/>
                <w:kern w:val="0"/>
                <w:sz w:val="24"/>
                <w:szCs w:val="24"/>
              </w:rPr>
              <w:t>真空泵，气量：12m3/h，极限压力：1×10-4，功率（单相）：450W；转速：1500rpm，必须配置原厂油雾过滤器和气镇，可分别对过渡舱进行抽真空，并可实现随时单独控制；</w:t>
            </w:r>
          </w:p>
          <w:p w:rsidR="008A437E" w:rsidRPr="008A437E" w:rsidRDefault="008A437E" w:rsidP="008A437E">
            <w:pPr>
              <w:autoSpaceDN w:val="0"/>
              <w:spacing w:line="360" w:lineRule="auto"/>
              <w:ind w:firstLineChars="200" w:firstLine="480"/>
              <w:rPr>
                <w:rFonts w:ascii="仿宋_GB2312" w:eastAsia="仿宋_GB2312"/>
                <w:kern w:val="0"/>
                <w:sz w:val="24"/>
                <w:szCs w:val="24"/>
              </w:rPr>
            </w:pPr>
            <w:r w:rsidRPr="008A437E">
              <w:rPr>
                <w:rFonts w:ascii="仿宋_GB2312" w:eastAsia="仿宋_GB2312" w:hint="eastAsia"/>
                <w:kern w:val="0"/>
                <w:sz w:val="24"/>
                <w:szCs w:val="24"/>
              </w:rPr>
              <w:t>6、水分析仪：</w:t>
            </w:r>
            <w:r w:rsidRPr="008A437E">
              <w:rPr>
                <w:rFonts w:ascii="仿宋_GB2312" w:eastAsia="仿宋_GB2312" w:hint="eastAsia"/>
                <w:color w:val="FF0000"/>
                <w:kern w:val="0"/>
                <w:sz w:val="24"/>
                <w:szCs w:val="24"/>
              </w:rPr>
              <w:t>美国AvcrayAD-500E</w:t>
            </w:r>
            <w:r w:rsidRPr="008A437E">
              <w:rPr>
                <w:rFonts w:ascii="仿宋_GB2312" w:eastAsia="仿宋_GB2312" w:hint="eastAsia"/>
                <w:kern w:val="0"/>
                <w:sz w:val="24"/>
                <w:szCs w:val="24"/>
              </w:rPr>
              <w:t>，检测范围：0-500ppm，误差：±1% ppm，PLC控制显示</w:t>
            </w:r>
          </w:p>
          <w:p w:rsidR="004915D5" w:rsidRPr="008A437E" w:rsidRDefault="00707415" w:rsidP="004915D5">
            <w:pPr>
              <w:autoSpaceDN w:val="0"/>
              <w:spacing w:line="360" w:lineRule="auto"/>
              <w:ind w:firstLineChars="200" w:firstLine="482"/>
              <w:rPr>
                <w:rFonts w:ascii="仿宋_GB2312" w:eastAsia="仿宋_GB2312"/>
                <w:b/>
                <w:kern w:val="0"/>
                <w:sz w:val="24"/>
                <w:szCs w:val="24"/>
              </w:rPr>
            </w:pPr>
            <w:r w:rsidRPr="008A437E">
              <w:rPr>
                <w:rFonts w:ascii="仿宋_GB2312" w:eastAsia="仿宋_GB2312" w:hint="eastAsia"/>
                <w:b/>
                <w:kern w:val="0"/>
                <w:sz w:val="24"/>
                <w:szCs w:val="24"/>
              </w:rPr>
              <w:t>三</w:t>
            </w:r>
            <w:r w:rsidR="004915D5" w:rsidRPr="008A437E">
              <w:rPr>
                <w:rFonts w:ascii="仿宋_GB2312" w:eastAsia="仿宋_GB2312" w:hint="eastAsia"/>
                <w:b/>
                <w:kern w:val="0"/>
                <w:sz w:val="24"/>
                <w:szCs w:val="24"/>
              </w:rPr>
              <w:t>、附件、备件和消耗品</w:t>
            </w:r>
          </w:p>
          <w:p w:rsidR="004915D5" w:rsidRPr="008A437E" w:rsidRDefault="004915D5" w:rsidP="004915D5">
            <w:pPr>
              <w:autoSpaceDN w:val="0"/>
              <w:spacing w:line="360" w:lineRule="auto"/>
              <w:ind w:firstLineChars="200" w:firstLine="480"/>
              <w:rPr>
                <w:rFonts w:ascii="仿宋_GB2312" w:eastAsia="仿宋_GB2312"/>
                <w:kern w:val="0"/>
                <w:sz w:val="24"/>
                <w:szCs w:val="24"/>
              </w:rPr>
            </w:pPr>
            <w:r w:rsidRPr="008A437E">
              <w:rPr>
                <w:rFonts w:ascii="仿宋_GB2312" w:eastAsia="仿宋_GB2312" w:hint="eastAsia"/>
                <w:kern w:val="0"/>
                <w:sz w:val="24"/>
                <w:szCs w:val="24"/>
              </w:rPr>
              <w:t>3.1 样品过滤头：200只</w:t>
            </w:r>
            <w:r w:rsidR="00F459D0" w:rsidRPr="008A437E">
              <w:rPr>
                <w:rFonts w:ascii="仿宋_GB2312" w:eastAsia="仿宋_GB2312" w:hint="eastAsia"/>
                <w:kern w:val="0"/>
                <w:sz w:val="24"/>
                <w:szCs w:val="24"/>
              </w:rPr>
              <w:t>。</w:t>
            </w:r>
          </w:p>
          <w:p w:rsidR="004915D5" w:rsidRPr="008A437E" w:rsidRDefault="004915D5" w:rsidP="004915D5">
            <w:pPr>
              <w:autoSpaceDN w:val="0"/>
              <w:spacing w:line="360" w:lineRule="auto"/>
              <w:ind w:firstLineChars="200" w:firstLine="480"/>
              <w:rPr>
                <w:rFonts w:ascii="仿宋_GB2312" w:eastAsia="仿宋_GB2312"/>
                <w:kern w:val="0"/>
                <w:sz w:val="24"/>
                <w:szCs w:val="24"/>
              </w:rPr>
            </w:pPr>
            <w:r w:rsidRPr="008A437E">
              <w:rPr>
                <w:rFonts w:ascii="仿宋_GB2312" w:eastAsia="仿宋_GB2312" w:hint="eastAsia"/>
                <w:kern w:val="0"/>
                <w:sz w:val="24"/>
                <w:szCs w:val="24"/>
              </w:rPr>
              <w:t>3.2 配备</w:t>
            </w:r>
            <w:r w:rsidRPr="008A437E">
              <w:rPr>
                <w:rFonts w:ascii="仿宋_GB2312" w:eastAsia="仿宋_GB2312" w:hAnsi="宋体" w:cs="Arial" w:hint="eastAsia"/>
                <w:color w:val="FF0000"/>
                <w:kern w:val="0"/>
                <w:sz w:val="24"/>
                <w:szCs w:val="24"/>
              </w:rPr>
              <w:t>惠普P1108</w:t>
            </w:r>
            <w:r w:rsidRPr="008A437E">
              <w:rPr>
                <w:rFonts w:ascii="仿宋_GB2312" w:eastAsia="仿宋_GB2312" w:hAnsi="宋体" w:cs="Arial" w:hint="eastAsia"/>
                <w:kern w:val="0"/>
                <w:sz w:val="24"/>
                <w:szCs w:val="24"/>
              </w:rPr>
              <w:t>打印机1台</w:t>
            </w:r>
            <w:r w:rsidR="00F459D0" w:rsidRPr="008A437E">
              <w:rPr>
                <w:rFonts w:ascii="仿宋_GB2312" w:eastAsia="仿宋_GB2312" w:hint="eastAsia"/>
                <w:kern w:val="0"/>
                <w:sz w:val="24"/>
                <w:szCs w:val="24"/>
              </w:rPr>
              <w:t>。</w:t>
            </w:r>
          </w:p>
          <w:p w:rsidR="004915D5" w:rsidRPr="008A437E" w:rsidRDefault="004915D5" w:rsidP="004915D5">
            <w:pPr>
              <w:autoSpaceDN w:val="0"/>
              <w:spacing w:line="360" w:lineRule="auto"/>
              <w:ind w:firstLineChars="200" w:firstLine="480"/>
              <w:rPr>
                <w:rFonts w:ascii="仿宋_GB2312" w:eastAsia="仿宋_GB2312"/>
                <w:kern w:val="0"/>
                <w:sz w:val="24"/>
                <w:szCs w:val="24"/>
              </w:rPr>
            </w:pPr>
            <w:r w:rsidRPr="008A437E">
              <w:rPr>
                <w:rFonts w:ascii="仿宋_GB2312" w:eastAsia="仿宋_GB2312" w:hint="eastAsia"/>
                <w:kern w:val="0"/>
                <w:sz w:val="24"/>
                <w:szCs w:val="24"/>
              </w:rPr>
              <w:t>3.3 配备</w:t>
            </w:r>
            <w:r w:rsidR="008A437E" w:rsidRPr="008A437E">
              <w:rPr>
                <w:rFonts w:ascii="仿宋_GB2312" w:eastAsia="仿宋_GB2312" w:hint="eastAsia"/>
                <w:color w:val="FF0000"/>
                <w:kern w:val="0"/>
                <w:sz w:val="24"/>
                <w:szCs w:val="24"/>
              </w:rPr>
              <w:t>常熟科新</w:t>
            </w:r>
            <w:r w:rsidR="008A437E" w:rsidRPr="008A437E">
              <w:rPr>
                <w:rFonts w:ascii="仿宋_GB2312" w:eastAsia="仿宋_GB2312"/>
                <w:color w:val="FF0000"/>
                <w:kern w:val="0"/>
                <w:sz w:val="24"/>
                <w:szCs w:val="24"/>
              </w:rPr>
              <w:t>YT-200B</w:t>
            </w:r>
            <w:r w:rsidRPr="008A437E">
              <w:rPr>
                <w:rFonts w:ascii="仿宋_GB2312" w:eastAsia="仿宋_GB2312" w:hint="eastAsia"/>
                <w:kern w:val="0"/>
                <w:sz w:val="24"/>
                <w:szCs w:val="24"/>
              </w:rPr>
              <w:t>减压阀一套。</w:t>
            </w:r>
          </w:p>
          <w:p w:rsidR="004915D5" w:rsidRPr="008A437E" w:rsidRDefault="00707415" w:rsidP="004915D5">
            <w:pPr>
              <w:autoSpaceDN w:val="0"/>
              <w:spacing w:line="360" w:lineRule="auto"/>
              <w:ind w:firstLineChars="200" w:firstLine="482"/>
              <w:rPr>
                <w:rFonts w:ascii="仿宋_GB2312" w:eastAsia="仿宋_GB2312"/>
                <w:b/>
                <w:kern w:val="0"/>
                <w:sz w:val="24"/>
                <w:szCs w:val="24"/>
              </w:rPr>
            </w:pPr>
            <w:r w:rsidRPr="008A437E">
              <w:rPr>
                <w:rFonts w:ascii="仿宋_GB2312" w:eastAsia="仿宋_GB2312" w:hint="eastAsia"/>
                <w:b/>
                <w:kern w:val="0"/>
                <w:sz w:val="24"/>
                <w:szCs w:val="24"/>
              </w:rPr>
              <w:lastRenderedPageBreak/>
              <w:t>四</w:t>
            </w:r>
            <w:r w:rsidR="004915D5" w:rsidRPr="008A437E">
              <w:rPr>
                <w:rFonts w:ascii="仿宋_GB2312" w:eastAsia="仿宋_GB2312" w:hint="eastAsia"/>
                <w:b/>
                <w:kern w:val="0"/>
                <w:sz w:val="24"/>
                <w:szCs w:val="24"/>
              </w:rPr>
              <w:t>、技术服务</w:t>
            </w:r>
          </w:p>
          <w:p w:rsidR="004915D5" w:rsidRPr="008A437E" w:rsidRDefault="004915D5" w:rsidP="004915D5">
            <w:pPr>
              <w:autoSpaceDN w:val="0"/>
              <w:spacing w:line="360" w:lineRule="auto"/>
              <w:ind w:firstLineChars="200" w:firstLine="480"/>
              <w:rPr>
                <w:rFonts w:ascii="仿宋_GB2312" w:eastAsia="仿宋_GB2312"/>
                <w:kern w:val="0"/>
                <w:sz w:val="24"/>
                <w:szCs w:val="24"/>
              </w:rPr>
            </w:pPr>
            <w:r w:rsidRPr="008A437E">
              <w:rPr>
                <w:rFonts w:ascii="仿宋_GB2312" w:eastAsia="仿宋_GB2312" w:hint="eastAsia"/>
                <w:kern w:val="0"/>
                <w:sz w:val="24"/>
                <w:szCs w:val="24"/>
              </w:rPr>
              <w:t>4.1 供应商必需在使用者的实验室内安装调试仪器直至用户认可仪器符合技术性能为止。</w:t>
            </w:r>
          </w:p>
          <w:p w:rsidR="004915D5" w:rsidRPr="008A437E" w:rsidRDefault="004915D5" w:rsidP="004915D5">
            <w:pPr>
              <w:autoSpaceDN w:val="0"/>
              <w:spacing w:line="360" w:lineRule="auto"/>
              <w:ind w:firstLineChars="200" w:firstLine="480"/>
              <w:rPr>
                <w:rFonts w:ascii="仿宋_GB2312" w:eastAsia="仿宋_GB2312"/>
                <w:kern w:val="0"/>
                <w:sz w:val="24"/>
                <w:szCs w:val="24"/>
              </w:rPr>
            </w:pPr>
            <w:r w:rsidRPr="008A437E">
              <w:rPr>
                <w:rFonts w:ascii="仿宋_GB2312" w:eastAsia="仿宋_GB2312" w:hint="eastAsia"/>
                <w:kern w:val="0"/>
                <w:sz w:val="24"/>
                <w:szCs w:val="24"/>
              </w:rPr>
              <w:t>4.2 仪器在调试通过后必须有12个月的保修期。</w:t>
            </w:r>
          </w:p>
          <w:p w:rsidR="004915D5" w:rsidRPr="008A437E" w:rsidRDefault="004915D5" w:rsidP="004915D5">
            <w:pPr>
              <w:autoSpaceDN w:val="0"/>
              <w:spacing w:line="360" w:lineRule="auto"/>
              <w:ind w:firstLineChars="200" w:firstLine="480"/>
              <w:rPr>
                <w:rFonts w:ascii="仿宋_GB2312" w:eastAsia="仿宋_GB2312"/>
                <w:kern w:val="0"/>
                <w:sz w:val="24"/>
                <w:szCs w:val="24"/>
              </w:rPr>
            </w:pPr>
            <w:r w:rsidRPr="008A437E">
              <w:rPr>
                <w:rFonts w:ascii="仿宋_GB2312" w:eastAsia="仿宋_GB2312" w:hint="eastAsia"/>
                <w:kern w:val="0"/>
                <w:sz w:val="24"/>
                <w:szCs w:val="24"/>
              </w:rPr>
              <w:t>4.3 供应商必须为买方两位人员提供至少五天的培训时间，培训内容包括仪器的基本原理、操作及一般仪器维护保养知识。</w:t>
            </w:r>
          </w:p>
          <w:p w:rsidR="005747EB" w:rsidRPr="004915D5" w:rsidRDefault="004915D5" w:rsidP="004915D5">
            <w:pPr>
              <w:spacing w:line="360" w:lineRule="auto"/>
              <w:ind w:firstLineChars="200" w:firstLine="480"/>
              <w:rPr>
                <w:rFonts w:ascii="仿宋_GB2312" w:eastAsia="仿宋_GB2312"/>
                <w:b/>
                <w:sz w:val="24"/>
                <w:szCs w:val="24"/>
              </w:rPr>
            </w:pPr>
            <w:r w:rsidRPr="008A437E">
              <w:rPr>
                <w:rFonts w:ascii="仿宋_GB2312" w:eastAsia="仿宋_GB2312" w:hint="eastAsia"/>
                <w:sz w:val="24"/>
                <w:szCs w:val="24"/>
              </w:rPr>
              <w:t>4.4 制造商在国内的技术服务中心（包括维修中心）应当提供所有的服务包括备用零件及消耗品（以人民币结算）。</w:t>
            </w:r>
          </w:p>
        </w:tc>
      </w:tr>
    </w:tbl>
    <w:p w:rsidR="002278F0" w:rsidRDefault="002278F0" w:rsidP="008A437E">
      <w:pPr>
        <w:snapToGrid w:val="0"/>
        <w:spacing w:line="360" w:lineRule="auto"/>
        <w:ind w:firstLineChars="200" w:firstLine="480"/>
        <w:rPr>
          <w:rFonts w:ascii="仿宋_GB2312" w:eastAsia="仿宋_GB2312"/>
          <w:color w:val="FF0000"/>
          <w:sz w:val="24"/>
          <w:szCs w:val="24"/>
        </w:rPr>
      </w:pPr>
    </w:p>
    <w:sectPr w:rsidR="002278F0" w:rsidSect="008607AE">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7B9" w:rsidRDefault="000B67B9" w:rsidP="00825F5D">
      <w:r>
        <w:separator/>
      </w:r>
    </w:p>
  </w:endnote>
  <w:endnote w:type="continuationSeparator" w:id="0">
    <w:p w:rsidR="000B67B9" w:rsidRDefault="000B67B9" w:rsidP="0082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7B9" w:rsidRDefault="000B67B9" w:rsidP="00825F5D">
      <w:r>
        <w:separator/>
      </w:r>
    </w:p>
  </w:footnote>
  <w:footnote w:type="continuationSeparator" w:id="0">
    <w:p w:rsidR="000B67B9" w:rsidRDefault="000B67B9" w:rsidP="00825F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hybridMultilevel"/>
    <w:tmpl w:val="2CF29F12"/>
    <w:lvl w:ilvl="0" w:tplc="B52CF944">
      <w:start w:val="1"/>
      <w:numFmt w:val="decimal"/>
      <w:lvlText w:val="%1）"/>
      <w:lvlJc w:val="left"/>
      <w:pPr>
        <w:ind w:left="1140" w:hanging="720"/>
      </w:pPr>
      <w:rPr>
        <w:rFonts w:hint="default"/>
      </w:rPr>
    </w:lvl>
    <w:lvl w:ilvl="1" w:tplc="04090019">
      <w:start w:val="1"/>
      <w:numFmt w:val="lowerLetter"/>
      <w:lvlRestart w:val="0"/>
      <w:lvlText w:val="%2)"/>
      <w:lvlJc w:val="left"/>
      <w:pPr>
        <w:ind w:left="1260" w:hanging="420"/>
      </w:pPr>
    </w:lvl>
    <w:lvl w:ilvl="2" w:tplc="0409001B">
      <w:start w:val="1"/>
      <w:numFmt w:val="lowerRoman"/>
      <w:lvlRestart w:val="0"/>
      <w:lvlText w:val="%3."/>
      <w:lvlJc w:val="right"/>
      <w:pPr>
        <w:ind w:left="1680" w:hanging="420"/>
      </w:pPr>
    </w:lvl>
    <w:lvl w:ilvl="3" w:tplc="0409000F">
      <w:start w:val="1"/>
      <w:numFmt w:val="decimal"/>
      <w:lvlRestart w:val="0"/>
      <w:lvlText w:val="%4."/>
      <w:lvlJc w:val="left"/>
      <w:pPr>
        <w:ind w:left="2100" w:hanging="420"/>
      </w:pPr>
    </w:lvl>
    <w:lvl w:ilvl="4" w:tplc="04090019">
      <w:start w:val="1"/>
      <w:numFmt w:val="lowerLetter"/>
      <w:lvlRestart w:val="0"/>
      <w:lvlText w:val="%5)"/>
      <w:lvlJc w:val="left"/>
      <w:pPr>
        <w:ind w:left="2520" w:hanging="420"/>
      </w:pPr>
    </w:lvl>
    <w:lvl w:ilvl="5" w:tplc="0409001B">
      <w:start w:val="1"/>
      <w:numFmt w:val="lowerRoman"/>
      <w:lvlRestart w:val="0"/>
      <w:lvlText w:val="%6."/>
      <w:lvlJc w:val="right"/>
      <w:pPr>
        <w:ind w:left="2940" w:hanging="420"/>
      </w:pPr>
    </w:lvl>
    <w:lvl w:ilvl="6" w:tplc="0409000F">
      <w:start w:val="1"/>
      <w:numFmt w:val="decimal"/>
      <w:lvlRestart w:val="0"/>
      <w:lvlText w:val="%7."/>
      <w:lvlJc w:val="left"/>
      <w:pPr>
        <w:ind w:left="3360" w:hanging="420"/>
      </w:pPr>
    </w:lvl>
    <w:lvl w:ilvl="7" w:tplc="04090019">
      <w:start w:val="1"/>
      <w:numFmt w:val="lowerLetter"/>
      <w:lvlRestart w:val="0"/>
      <w:lvlText w:val="%8)"/>
      <w:lvlJc w:val="left"/>
      <w:pPr>
        <w:ind w:left="3780" w:hanging="420"/>
      </w:pPr>
    </w:lvl>
    <w:lvl w:ilvl="8" w:tplc="0409001B">
      <w:start w:val="1"/>
      <w:numFmt w:val="lowerRoman"/>
      <w:lvlRestart w:val="0"/>
      <w:lvlText w:val="%9."/>
      <w:lvlJc w:val="right"/>
      <w:pPr>
        <w:ind w:left="4200" w:hanging="420"/>
      </w:pPr>
    </w:lvl>
  </w:abstractNum>
  <w:abstractNum w:abstractNumId="1">
    <w:nsid w:val="72E22412"/>
    <w:multiLevelType w:val="hybridMultilevel"/>
    <w:tmpl w:val="EAF8EACC"/>
    <w:lvl w:ilvl="0" w:tplc="E396B71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5AC"/>
    <w:rsid w:val="00005C36"/>
    <w:rsid w:val="000152E4"/>
    <w:rsid w:val="00025B1A"/>
    <w:rsid w:val="00031851"/>
    <w:rsid w:val="00065E4E"/>
    <w:rsid w:val="00066C24"/>
    <w:rsid w:val="000A2C3B"/>
    <w:rsid w:val="000B67B9"/>
    <w:rsid w:val="000D0992"/>
    <w:rsid w:val="000D0B9D"/>
    <w:rsid w:val="000E70C8"/>
    <w:rsid w:val="0010374B"/>
    <w:rsid w:val="00156491"/>
    <w:rsid w:val="001B2946"/>
    <w:rsid w:val="001F23FA"/>
    <w:rsid w:val="0021490D"/>
    <w:rsid w:val="002278F0"/>
    <w:rsid w:val="00235E30"/>
    <w:rsid w:val="002477B4"/>
    <w:rsid w:val="00264C35"/>
    <w:rsid w:val="002738DE"/>
    <w:rsid w:val="00295EC7"/>
    <w:rsid w:val="002A0068"/>
    <w:rsid w:val="002A7CAF"/>
    <w:rsid w:val="002E7402"/>
    <w:rsid w:val="00307070"/>
    <w:rsid w:val="003171CF"/>
    <w:rsid w:val="00351589"/>
    <w:rsid w:val="00352480"/>
    <w:rsid w:val="00433C8F"/>
    <w:rsid w:val="00486F13"/>
    <w:rsid w:val="004900E6"/>
    <w:rsid w:val="004915D5"/>
    <w:rsid w:val="004A1541"/>
    <w:rsid w:val="004C7B56"/>
    <w:rsid w:val="004E3FDF"/>
    <w:rsid w:val="004F4354"/>
    <w:rsid w:val="005129D9"/>
    <w:rsid w:val="005174CC"/>
    <w:rsid w:val="005571FA"/>
    <w:rsid w:val="005747EB"/>
    <w:rsid w:val="005E0878"/>
    <w:rsid w:val="00652BFE"/>
    <w:rsid w:val="00655D04"/>
    <w:rsid w:val="006838C0"/>
    <w:rsid w:val="00694EB7"/>
    <w:rsid w:val="006A7A76"/>
    <w:rsid w:val="006B0BC4"/>
    <w:rsid w:val="006E1FFD"/>
    <w:rsid w:val="00705332"/>
    <w:rsid w:val="00707415"/>
    <w:rsid w:val="00720E93"/>
    <w:rsid w:val="00754F39"/>
    <w:rsid w:val="007B016D"/>
    <w:rsid w:val="007B3A6F"/>
    <w:rsid w:val="007D5C97"/>
    <w:rsid w:val="007E1202"/>
    <w:rsid w:val="007E436C"/>
    <w:rsid w:val="00825F5D"/>
    <w:rsid w:val="008607AE"/>
    <w:rsid w:val="00871E2D"/>
    <w:rsid w:val="008A437E"/>
    <w:rsid w:val="0093048A"/>
    <w:rsid w:val="0093683F"/>
    <w:rsid w:val="00952B05"/>
    <w:rsid w:val="009925AC"/>
    <w:rsid w:val="009A265D"/>
    <w:rsid w:val="009C2E07"/>
    <w:rsid w:val="00A44309"/>
    <w:rsid w:val="00A81F71"/>
    <w:rsid w:val="00A85810"/>
    <w:rsid w:val="00A901E5"/>
    <w:rsid w:val="00A97426"/>
    <w:rsid w:val="00B2260F"/>
    <w:rsid w:val="00B36CCF"/>
    <w:rsid w:val="00BA2A1E"/>
    <w:rsid w:val="00BD72BC"/>
    <w:rsid w:val="00C02F72"/>
    <w:rsid w:val="00C1071E"/>
    <w:rsid w:val="00C329D4"/>
    <w:rsid w:val="00C765D1"/>
    <w:rsid w:val="00CA733B"/>
    <w:rsid w:val="00D16AD3"/>
    <w:rsid w:val="00D70BF9"/>
    <w:rsid w:val="00D85D5C"/>
    <w:rsid w:val="00DA11EA"/>
    <w:rsid w:val="00DB0D46"/>
    <w:rsid w:val="00E42E4C"/>
    <w:rsid w:val="00E52783"/>
    <w:rsid w:val="00E75CAE"/>
    <w:rsid w:val="00EE753C"/>
    <w:rsid w:val="00F2371E"/>
    <w:rsid w:val="00F459D0"/>
    <w:rsid w:val="00F62ED8"/>
    <w:rsid w:val="00F71608"/>
    <w:rsid w:val="00F73EBA"/>
    <w:rsid w:val="00FE6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67B03F-2AD0-4DE4-9D73-7BC3F05B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pPr>
        <w:spacing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1EA"/>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825F5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825F5D"/>
    <w:rPr>
      <w:kern w:val="2"/>
      <w:sz w:val="18"/>
      <w:szCs w:val="18"/>
    </w:rPr>
  </w:style>
  <w:style w:type="paragraph" w:styleId="a5">
    <w:name w:val="footer"/>
    <w:basedOn w:val="a"/>
    <w:link w:val="Char0"/>
    <w:uiPriority w:val="99"/>
    <w:unhideWhenUsed/>
    <w:rsid w:val="00825F5D"/>
    <w:pPr>
      <w:tabs>
        <w:tab w:val="center" w:pos="4153"/>
        <w:tab w:val="right" w:pos="8306"/>
      </w:tabs>
      <w:snapToGrid w:val="0"/>
    </w:pPr>
    <w:rPr>
      <w:sz w:val="18"/>
      <w:szCs w:val="18"/>
    </w:rPr>
  </w:style>
  <w:style w:type="character" w:customStyle="1" w:styleId="Char0">
    <w:name w:val="页脚 Char"/>
    <w:link w:val="a5"/>
    <w:uiPriority w:val="99"/>
    <w:rsid w:val="00825F5D"/>
    <w:rPr>
      <w:kern w:val="2"/>
      <w:sz w:val="18"/>
      <w:szCs w:val="18"/>
    </w:rPr>
  </w:style>
  <w:style w:type="paragraph" w:styleId="a6">
    <w:name w:val="List Paragraph"/>
    <w:basedOn w:val="a"/>
    <w:uiPriority w:val="34"/>
    <w:qFormat/>
    <w:rsid w:val="00DA11E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dc:creator>
  <cp:keywords/>
  <cp:lastModifiedBy>F</cp:lastModifiedBy>
  <cp:revision>3</cp:revision>
  <cp:lastPrinted>2014-03-06T03:19:00Z</cp:lastPrinted>
  <dcterms:created xsi:type="dcterms:W3CDTF">2022-01-18T08:12:00Z</dcterms:created>
  <dcterms:modified xsi:type="dcterms:W3CDTF">2022-01-18T08:12:00Z</dcterms:modified>
</cp:coreProperties>
</file>